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629A" w:rsidRPr="0079784A" w:rsidRDefault="005F7BD4" w:rsidP="001C4C5D">
      <w:pPr>
        <w:pStyle w:val="Heading1"/>
        <w:jc w:val="both"/>
        <w:rPr>
          <w:b w:val="0"/>
          <w:lang w:val="en-US"/>
        </w:rPr>
      </w:pPr>
      <w:bookmarkStart w:id="0" w:name="OLE_LINK1"/>
      <w:bookmarkStart w:id="1" w:name="OLE_LINK2"/>
      <w:bookmarkStart w:id="2" w:name="_GoBack"/>
      <w:bookmarkEnd w:id="2"/>
      <w:r w:rsidRPr="0079784A">
        <w:rPr>
          <w:rStyle w:val="1GrobuchstabenChar"/>
          <w:b/>
          <w:i/>
          <w:lang w:val="en-US"/>
        </w:rPr>
        <w:t xml:space="preserve">Transition towards </w:t>
      </w:r>
      <w:r w:rsidR="00A11DED" w:rsidRPr="0079784A">
        <w:rPr>
          <w:rStyle w:val="1GrobuchstabenChar"/>
          <w:b/>
          <w:i/>
          <w:lang w:val="en-US"/>
        </w:rPr>
        <w:t xml:space="preserve">Electricity </w:t>
      </w:r>
      <w:r w:rsidRPr="0079784A">
        <w:rPr>
          <w:rStyle w:val="1GrobuchstabenChar"/>
          <w:b/>
          <w:i/>
          <w:lang w:val="en-US"/>
        </w:rPr>
        <w:t xml:space="preserve">scarcity pricing in poland: </w:t>
      </w:r>
      <w:bookmarkEnd w:id="0"/>
      <w:bookmarkEnd w:id="1"/>
      <w:r w:rsidR="00AF2D4A" w:rsidRPr="0079784A">
        <w:rPr>
          <w:rStyle w:val="1GrobuchstabenChar"/>
          <w:b/>
          <w:i/>
          <w:lang w:val="en-US"/>
        </w:rPr>
        <w:t xml:space="preserve">lessons drawn from </w:t>
      </w:r>
      <w:r w:rsidRPr="0079784A">
        <w:rPr>
          <w:rStyle w:val="1GrobuchstabenChar"/>
          <w:b/>
          <w:i/>
          <w:lang w:val="en-US"/>
        </w:rPr>
        <w:t>international experiences</w:t>
      </w:r>
    </w:p>
    <w:p w:rsidR="0054629A" w:rsidRPr="00A74417" w:rsidRDefault="003973BA">
      <w:pPr>
        <w:pStyle w:val="Heading3"/>
        <w:rPr>
          <w:lang w:eastAsia="de-DE"/>
        </w:rPr>
      </w:pPr>
      <w:r w:rsidRPr="00A74417">
        <w:rPr>
          <w:rStyle w:val="1KursivChar"/>
          <w:b w:val="0"/>
          <w:i w:val="0"/>
          <w:sz w:val="20"/>
          <w:szCs w:val="20"/>
          <w:lang w:val="en-US" w:eastAsia="de-DE"/>
        </w:rPr>
        <w:t>Pablo Benalcazar, Mineral and Energy Economy Research Institute, Polish Academy of Sciences</w:t>
      </w:r>
      <w:r w:rsidRPr="00A74417">
        <w:rPr>
          <w:rStyle w:val="1KursivChar"/>
          <w:b w:val="0"/>
          <w:i w:val="0"/>
          <w:sz w:val="20"/>
          <w:szCs w:val="20"/>
          <w:lang w:val="en-US" w:eastAsia="de-DE"/>
        </w:rPr>
        <w:br/>
      </w:r>
      <w:r w:rsidRPr="00A74417">
        <w:rPr>
          <w:lang w:eastAsia="de-DE"/>
        </w:rPr>
        <w:t xml:space="preserve">Phone +48 12 617 16 16, E-mail: </w:t>
      </w:r>
      <w:bookmarkStart w:id="3" w:name="OLE_LINK17"/>
      <w:r w:rsidRPr="00A74417">
        <w:rPr>
          <w:lang w:eastAsia="de-DE"/>
        </w:rPr>
        <w:t>b</w:t>
      </w:r>
      <w:bookmarkEnd w:id="3"/>
      <w:r w:rsidRPr="00A74417">
        <w:rPr>
          <w:lang w:eastAsia="de-DE"/>
        </w:rPr>
        <w:t>enalcazar@meeri.eu</w:t>
      </w:r>
      <w:bookmarkStart w:id="4" w:name="OLE_LINK18"/>
      <w:r w:rsidRPr="00A74417">
        <w:rPr>
          <w:lang w:eastAsia="de-DE"/>
        </w:rPr>
        <w:br/>
      </w:r>
      <w:bookmarkEnd w:id="4"/>
      <w:r w:rsidR="00A11DED" w:rsidRPr="00A74417">
        <w:rPr>
          <w:rStyle w:val="1KursivChar"/>
          <w:b w:val="0"/>
          <w:i w:val="0"/>
          <w:sz w:val="20"/>
          <w:szCs w:val="20"/>
          <w:lang w:val="en-US" w:eastAsia="de-DE"/>
        </w:rPr>
        <w:t>Patryk Nalepka</w:t>
      </w:r>
      <w:r w:rsidR="008E681A" w:rsidRPr="00A74417">
        <w:rPr>
          <w:rStyle w:val="1KursivChar"/>
          <w:b w:val="0"/>
          <w:i w:val="0"/>
          <w:sz w:val="20"/>
          <w:szCs w:val="20"/>
          <w:lang w:val="en-US" w:eastAsia="de-DE"/>
        </w:rPr>
        <w:t>, Mineral and Energy Economy Research Institute, Polish Academy of Sciences</w:t>
      </w:r>
      <w:r w:rsidR="008E681A" w:rsidRPr="00A74417">
        <w:rPr>
          <w:rStyle w:val="1KursivChar"/>
          <w:b w:val="0"/>
          <w:i w:val="0"/>
          <w:sz w:val="20"/>
          <w:szCs w:val="20"/>
          <w:lang w:val="en-US" w:eastAsia="de-DE"/>
        </w:rPr>
        <w:br/>
      </w:r>
      <w:r w:rsidR="008E681A" w:rsidRPr="00A74417">
        <w:rPr>
          <w:lang w:eastAsia="de-DE"/>
        </w:rPr>
        <w:t xml:space="preserve">E-mail: </w:t>
      </w:r>
      <w:r w:rsidR="00C94AF8" w:rsidRPr="00A74417">
        <w:rPr>
          <w:lang w:eastAsia="de-DE"/>
        </w:rPr>
        <w:t>nalepka.patryk@outlook.com</w:t>
      </w:r>
    </w:p>
    <w:p w:rsidR="00C94AF8" w:rsidRPr="00B01A9C" w:rsidRDefault="00C94AF8" w:rsidP="00B01A9C">
      <w:pPr>
        <w:rPr>
          <w:lang w:val="en-US" w:eastAsia="de-DE"/>
        </w:rPr>
      </w:pPr>
    </w:p>
    <w:p w:rsidR="0054629A" w:rsidRPr="00B01A9C" w:rsidRDefault="003973BA">
      <w:pPr>
        <w:pStyle w:val="Heading4"/>
        <w:rPr>
          <w:lang w:val="en-US"/>
        </w:rPr>
      </w:pPr>
      <w:r w:rsidRPr="00B01A9C">
        <w:rPr>
          <w:b/>
          <w:lang w:val="en-US"/>
        </w:rPr>
        <w:t>Overview</w:t>
      </w:r>
    </w:p>
    <w:p w:rsidR="00496733" w:rsidRPr="00B01A9C" w:rsidRDefault="00496733" w:rsidP="00496733">
      <w:pPr>
        <w:spacing w:after="120"/>
        <w:jc w:val="both"/>
        <w:rPr>
          <w:sz w:val="20"/>
          <w:szCs w:val="20"/>
          <w:lang w:val="en-US"/>
        </w:rPr>
      </w:pPr>
      <w:r w:rsidRPr="00B01A9C">
        <w:rPr>
          <w:sz w:val="20"/>
          <w:szCs w:val="20"/>
          <w:lang w:val="en-US"/>
        </w:rPr>
        <w:t>Poland is one of the EU member states facing the risk of capacity shortages in the medium- and long-term perspective. In 2016, the Polish Ministry of Energy outlined its plan to introduce a Capacity Remuneration Mechanism (CRM) aimed at avoiding electricity shortages between 2020 and 2035</w:t>
      </w:r>
      <w:r w:rsidR="00AE596D">
        <w:rPr>
          <w:sz w:val="20"/>
          <w:szCs w:val="20"/>
          <w:lang w:val="en-US"/>
        </w:rPr>
        <w:t xml:space="preserve"> </w:t>
      </w:r>
      <w:r w:rsidR="00AE596D">
        <w:rPr>
          <w:sz w:val="20"/>
          <w:szCs w:val="20"/>
          <w:lang w:val="en-US"/>
        </w:rPr>
        <w:fldChar w:fldCharType="begin" w:fldLock="1"/>
      </w:r>
      <w:r w:rsidR="00EB3D39">
        <w:rPr>
          <w:sz w:val="20"/>
          <w:szCs w:val="20"/>
          <w:lang w:val="en-US"/>
        </w:rPr>
        <w:instrText>ADDIN CSL_CITATION {"citationItems":[{"id":"ITEM-1","itemData":{"author":[{"dropping-particle":"","family":"Ministerstwo Energii","given":"","non-dropping-particle":"","parse-names":false,"suffix":""}],"id":"ITEM-1","issued":{"date-parts":[["2016"]]},"publisher-place":"Warszawa","title":"Rozwiązania funkcjonalne rynku mocy","type":"report"},"uris":["http://www.mendeley.com/documents/?uuid=03c1ad54-d427-47f7-8e41-bcdab92db695"]},{"id":"ITEM-2","itemData":{"author":[{"dropping-particle":"","family":"Benalcazar","given":"Pablo","non-dropping-particle":"","parse-names":false,"suffix":""},{"dropping-particle":"","family":"Kamiński","given":"Jacek","non-dropping-particle":"","parse-names":false,"suffix":""}],"container-title":"Polityka Energetyczna - Energy policy journal","id":"ITEM-2","issue":"3","issued":{"date-parts":[["2016"]]},"page":"61-76","title":"Capacity markets and cogeneration facilities: recommendations for Poland","type":"article-journal","volume":"19"},"uris":["http://www.mendeley.com/documents/?uuid=46a4bc54-bab6-4268-b59c-e176dae9afaa"]},{"id":"ITEM-3","itemData":{"author":[{"dropping-particle":"","family":"Benalcazar","given":"Pablo","non-dropping-particle":"","parse-names":false,"suffix":""},{"dropping-particle":"","family":"Nalepka","given":"Patryk","non-dropping-particle":"","parse-names":false,"suffix":""}],"container-title":"Polityka Energetyczna - Energy policy journal","id":"ITEM-3","issue":"2","issued":{"date-parts":[["2017"]]},"page":"59-72","title":"The Polish capacity market proposal vs the British model","type":"article-journal","volume":"20"},"uris":["http://www.mendeley.com/documents/?uuid=37c7473b-b58b-441e-82f7-7ea9c5bdbfa6"]}],"mendeley":{"formattedCitation":"[1]–[3]","plainTextFormattedCitation":"[1]–[3]","previouslyFormattedCitation":"[1]–[3]"},"properties":{"noteIndex":0},"schema":"https://github.com/citation-style-language/schema/raw/master/csl-citation.json"}</w:instrText>
      </w:r>
      <w:r w:rsidR="00AE596D">
        <w:rPr>
          <w:sz w:val="20"/>
          <w:szCs w:val="20"/>
          <w:lang w:val="en-US"/>
        </w:rPr>
        <w:fldChar w:fldCharType="separate"/>
      </w:r>
      <w:r w:rsidR="00DB2756" w:rsidRPr="00DB2756">
        <w:rPr>
          <w:noProof/>
          <w:sz w:val="20"/>
          <w:szCs w:val="20"/>
          <w:lang w:val="en-US"/>
        </w:rPr>
        <w:t>[1]–[3]</w:t>
      </w:r>
      <w:r w:rsidR="00AE596D">
        <w:rPr>
          <w:sz w:val="20"/>
          <w:szCs w:val="20"/>
          <w:lang w:val="en-US"/>
        </w:rPr>
        <w:fldChar w:fldCharType="end"/>
      </w:r>
      <w:r w:rsidRPr="00B01A9C">
        <w:rPr>
          <w:sz w:val="20"/>
          <w:szCs w:val="20"/>
          <w:lang w:val="en-US"/>
        </w:rPr>
        <w:t>. CRMs have been recognized by the European Commission (EC) as one of the possible measures to ensure</w:t>
      </w:r>
      <w:r w:rsidR="00531A36">
        <w:rPr>
          <w:sz w:val="20"/>
          <w:szCs w:val="20"/>
          <w:lang w:val="en-US"/>
        </w:rPr>
        <w:t xml:space="preserve"> the</w:t>
      </w:r>
      <w:r w:rsidRPr="00B01A9C">
        <w:rPr>
          <w:sz w:val="20"/>
          <w:szCs w:val="20"/>
          <w:lang w:val="en-US"/>
        </w:rPr>
        <w:t xml:space="preserve"> security of electricity supplies</w:t>
      </w:r>
      <w:r w:rsidR="00EA599E">
        <w:rPr>
          <w:sz w:val="20"/>
          <w:szCs w:val="20"/>
          <w:lang w:val="en-US"/>
        </w:rPr>
        <w:t xml:space="preserve"> </w:t>
      </w:r>
      <w:r w:rsidR="00EA599E">
        <w:rPr>
          <w:sz w:val="20"/>
          <w:szCs w:val="20"/>
          <w:lang w:val="en-US"/>
        </w:rPr>
        <w:fldChar w:fldCharType="begin" w:fldLock="1"/>
      </w:r>
      <w:r w:rsidR="00EB3D39">
        <w:rPr>
          <w:sz w:val="20"/>
          <w:szCs w:val="20"/>
          <w:lang w:val="en-US"/>
        </w:rPr>
        <w:instrText>ADDIN CSL_CITATION {"citationItems":[{"id":"ITEM-1","itemData":{"author":[{"dropping-particle":"","family":"European Commission","given":"","non-dropping-particle":"","parse-names":false,"suffix":""}],"id":"ITEM-1","issued":{"date-parts":[["2016"]]},"number-of-pages":"212","publisher-place":"Brussels","title":"Final Report of the Sector Inquiry on Capacity Mechanisms","type":"report"},"uris":["http://www.mendeley.com/documents/?uuid=796c3e7f-788c-4ee5-8dc8-60a6cc031c43"]}],"mendeley":{"formattedCitation":"[4]","plainTextFormattedCitation":"[4]","previouslyFormattedCitation":"[4]"},"properties":{"noteIndex":0},"schema":"https://github.com/citation-style-language/schema/raw/master/csl-citation.json"}</w:instrText>
      </w:r>
      <w:r w:rsidR="00EA599E">
        <w:rPr>
          <w:sz w:val="20"/>
          <w:szCs w:val="20"/>
          <w:lang w:val="en-US"/>
        </w:rPr>
        <w:fldChar w:fldCharType="separate"/>
      </w:r>
      <w:r w:rsidR="00DB2756" w:rsidRPr="00DB2756">
        <w:rPr>
          <w:noProof/>
          <w:sz w:val="20"/>
          <w:szCs w:val="20"/>
          <w:lang w:val="en-US"/>
        </w:rPr>
        <w:t>[4]</w:t>
      </w:r>
      <w:r w:rsidR="00EA599E">
        <w:rPr>
          <w:sz w:val="20"/>
          <w:szCs w:val="20"/>
          <w:lang w:val="en-US"/>
        </w:rPr>
        <w:fldChar w:fldCharType="end"/>
      </w:r>
      <w:r w:rsidRPr="00B01A9C">
        <w:rPr>
          <w:sz w:val="20"/>
          <w:szCs w:val="20"/>
          <w:lang w:val="en-US"/>
        </w:rPr>
        <w:t>. So far, the EC has authorized the implementation of CRMs in Belgium (strategic reserve), Germany (strategic reserve), France (demand response), Italy (market-wide capacity mechanism), Greece (demand response), UK (market-wide capacity mechanism), Ireland (market-wide capacity mechanisms) and Poland (market-wide capacity mechanism)</w:t>
      </w:r>
      <w:r w:rsidR="001B1A5A">
        <w:rPr>
          <w:sz w:val="20"/>
          <w:szCs w:val="20"/>
          <w:lang w:val="en-US"/>
        </w:rPr>
        <w:t xml:space="preserve"> </w:t>
      </w:r>
      <w:r w:rsidR="001B1A5A">
        <w:rPr>
          <w:sz w:val="20"/>
          <w:szCs w:val="20"/>
          <w:lang w:val="en-US"/>
        </w:rPr>
        <w:fldChar w:fldCharType="begin" w:fldLock="1"/>
      </w:r>
      <w:r w:rsidR="00EB3D39">
        <w:rPr>
          <w:sz w:val="20"/>
          <w:szCs w:val="20"/>
          <w:lang w:val="en-US"/>
        </w:rPr>
        <w:instrText>ADDIN CSL_CITATION {"citationItems":[{"id":"ITEM-1","itemData":{"abstract":"The European Commission has approved under EU State aid rules electricity capacity mechanisms in Belgium, France, Germany, Greece, Italy and Poland. The Commission found that the measures will contribute to ensuring security of supply whilst preserving competition in the Single Market.","author":[{"dropping-particle":"","family":"European Commission","given":"","non-dropping-particle":"","parse-names":false,"suffix":""}],"id":"ITEM-1","issue":"February","issued":{"date-parts":[["2018"]]},"number-of-pages":"5","publisher-place":"Brussels","title":"State aid : Commission approves six electricity capacity mechanisms to ensure security of supply in Belgium, France, Germany, Greece , Italy and Poland","type":"report"},"uris":["http://www.mendeley.com/documents/?uuid=242a0fe1-0903-4bdc-a919-683e3aea8a02"]}],"mendeley":{"formattedCitation":"[5]","plainTextFormattedCitation":"[5]","previouslyFormattedCitation":"[5]"},"properties":{"noteIndex":0},"schema":"https://github.com/citation-style-language/schema/raw/master/csl-citation.json"}</w:instrText>
      </w:r>
      <w:r w:rsidR="001B1A5A">
        <w:rPr>
          <w:sz w:val="20"/>
          <w:szCs w:val="20"/>
          <w:lang w:val="en-US"/>
        </w:rPr>
        <w:fldChar w:fldCharType="separate"/>
      </w:r>
      <w:r w:rsidR="00DB2756" w:rsidRPr="00DB2756">
        <w:rPr>
          <w:noProof/>
          <w:sz w:val="20"/>
          <w:szCs w:val="20"/>
          <w:lang w:val="en-US"/>
        </w:rPr>
        <w:t>[5]</w:t>
      </w:r>
      <w:r w:rsidR="001B1A5A">
        <w:rPr>
          <w:sz w:val="20"/>
          <w:szCs w:val="20"/>
          <w:lang w:val="en-US"/>
        </w:rPr>
        <w:fldChar w:fldCharType="end"/>
      </w:r>
      <w:r w:rsidRPr="00B01A9C">
        <w:rPr>
          <w:sz w:val="20"/>
          <w:szCs w:val="20"/>
          <w:lang w:val="en-US"/>
        </w:rPr>
        <w:t>.</w:t>
      </w:r>
    </w:p>
    <w:p w:rsidR="00496733" w:rsidRPr="00B01A9C" w:rsidRDefault="00496733" w:rsidP="00496733">
      <w:pPr>
        <w:spacing w:after="120"/>
        <w:jc w:val="both"/>
        <w:rPr>
          <w:sz w:val="20"/>
          <w:szCs w:val="20"/>
          <w:lang w:val="en-US"/>
        </w:rPr>
      </w:pPr>
      <w:r w:rsidRPr="00B01A9C">
        <w:rPr>
          <w:sz w:val="20"/>
          <w:szCs w:val="20"/>
          <w:lang w:val="en-US"/>
        </w:rPr>
        <w:t>In the case of Poland, the EC approved the introduction of a Capacity Market (CM) for a maximum period of 10 years starting from the date of the first auction, which underlines the idea that the Polish Capacity Market is only a temporary measure. Hence, according to the EC notification decision (State aid No. SA.46100), Poland has committed to undertake reforms and implement additional solutions in order to address the issue of the ‘missing money’ problem in its energy-only market. The main element of this reform is to establish a scarcity pricing mechanism in the intra-day market by the year 2021</w:t>
      </w:r>
      <w:r w:rsidR="00EB3D39">
        <w:rPr>
          <w:sz w:val="20"/>
          <w:szCs w:val="20"/>
          <w:lang w:val="en-US"/>
        </w:rPr>
        <w:t xml:space="preserve"> </w:t>
      </w:r>
      <w:r w:rsidR="00EB3D39">
        <w:rPr>
          <w:sz w:val="20"/>
          <w:szCs w:val="20"/>
          <w:lang w:val="en-US"/>
        </w:rPr>
        <w:fldChar w:fldCharType="begin" w:fldLock="1"/>
      </w:r>
      <w:r w:rsidR="00B80D08">
        <w:rPr>
          <w:sz w:val="20"/>
          <w:szCs w:val="20"/>
          <w:lang w:val="en-US"/>
        </w:rPr>
        <w:instrText>ADDIN CSL_CITATION {"citationItems":[{"id":"ITEM-1","itemData":{"author":[{"dropping-particle":"","family":"European Commission","given":"","non-dropping-particle":"","parse-names":false,"suffix":""}],"id":"ITEM-1","issued":{"date-parts":[["2018"]]},"number-of-pages":"40","publisher-place":"Brussels","title":"State aid No. SA.46100 (2017/N) – Poland – Planned Polish capacity mechanism","type":"report"},"uris":["http://www.mendeley.com/documents/?uuid=ee78e512-91c1-430d-8d39-30484fd8158f"]}],"mendeley":{"formattedCitation":"[6]","plainTextFormattedCitation":"[6]","previouslyFormattedCitation":"[6]"},"properties":{"noteIndex":0},"schema":"https://github.com/citation-style-language/schema/raw/master/csl-citation.json"}</w:instrText>
      </w:r>
      <w:r w:rsidR="00EB3D39">
        <w:rPr>
          <w:sz w:val="20"/>
          <w:szCs w:val="20"/>
          <w:lang w:val="en-US"/>
        </w:rPr>
        <w:fldChar w:fldCharType="separate"/>
      </w:r>
      <w:r w:rsidR="00EB3D39" w:rsidRPr="00EB3D39">
        <w:rPr>
          <w:noProof/>
          <w:sz w:val="20"/>
          <w:szCs w:val="20"/>
          <w:lang w:val="en-US"/>
        </w:rPr>
        <w:t>[6]</w:t>
      </w:r>
      <w:r w:rsidR="00EB3D39">
        <w:rPr>
          <w:sz w:val="20"/>
          <w:szCs w:val="20"/>
          <w:lang w:val="en-US"/>
        </w:rPr>
        <w:fldChar w:fldCharType="end"/>
      </w:r>
      <w:r w:rsidRPr="00B01A9C">
        <w:rPr>
          <w:sz w:val="20"/>
          <w:szCs w:val="20"/>
          <w:lang w:val="en-US"/>
        </w:rPr>
        <w:t>. If, however, this happens, then this will lead to the combination of a scarcity pricing mechanism and a capacity market and will pose new challenges to the design and operation of the Polish electricity market.</w:t>
      </w:r>
    </w:p>
    <w:p w:rsidR="00F908D1" w:rsidRPr="00B01A9C" w:rsidRDefault="00974842" w:rsidP="00F908D1">
      <w:pPr>
        <w:spacing w:after="120"/>
        <w:jc w:val="both"/>
        <w:rPr>
          <w:sz w:val="20"/>
          <w:szCs w:val="20"/>
          <w:lang w:val="en-US"/>
        </w:rPr>
      </w:pPr>
      <w:r w:rsidRPr="00B01A9C">
        <w:rPr>
          <w:sz w:val="20"/>
          <w:szCs w:val="20"/>
          <w:lang w:val="en-US"/>
        </w:rPr>
        <w:t xml:space="preserve">Experiences in other regions </w:t>
      </w:r>
      <w:r w:rsidR="00B77476" w:rsidRPr="00B01A9C">
        <w:rPr>
          <w:sz w:val="20"/>
          <w:szCs w:val="20"/>
          <w:lang w:val="en-US"/>
        </w:rPr>
        <w:t xml:space="preserve">of </w:t>
      </w:r>
      <w:r w:rsidRPr="00B01A9C">
        <w:rPr>
          <w:sz w:val="20"/>
          <w:szCs w:val="20"/>
          <w:lang w:val="en-US"/>
        </w:rPr>
        <w:t>the world</w:t>
      </w:r>
      <w:r w:rsidR="00B77476" w:rsidRPr="00B01A9C">
        <w:rPr>
          <w:sz w:val="20"/>
          <w:szCs w:val="20"/>
          <w:lang w:val="en-US"/>
        </w:rPr>
        <w:t xml:space="preserve"> </w:t>
      </w:r>
      <w:r w:rsidRPr="00B01A9C">
        <w:rPr>
          <w:sz w:val="20"/>
          <w:szCs w:val="20"/>
          <w:lang w:val="en-US"/>
        </w:rPr>
        <w:t>ha</w:t>
      </w:r>
      <w:r w:rsidR="00B77476" w:rsidRPr="00B01A9C">
        <w:rPr>
          <w:sz w:val="20"/>
          <w:szCs w:val="20"/>
          <w:lang w:val="en-US"/>
        </w:rPr>
        <w:t>ve</w:t>
      </w:r>
      <w:r w:rsidRPr="00B01A9C">
        <w:rPr>
          <w:sz w:val="20"/>
          <w:szCs w:val="20"/>
          <w:lang w:val="en-US"/>
        </w:rPr>
        <w:t xml:space="preserve"> shown that the </w:t>
      </w:r>
      <w:r w:rsidR="00B77476" w:rsidRPr="00B01A9C">
        <w:rPr>
          <w:sz w:val="20"/>
          <w:szCs w:val="20"/>
          <w:lang w:val="en-US"/>
        </w:rPr>
        <w:t>incorporation of scarcity pricing</w:t>
      </w:r>
      <w:r w:rsidR="0091783E" w:rsidRPr="00B01A9C">
        <w:rPr>
          <w:sz w:val="20"/>
          <w:szCs w:val="20"/>
          <w:lang w:val="en-US"/>
        </w:rPr>
        <w:t xml:space="preserve"> (short-term design)</w:t>
      </w:r>
      <w:r w:rsidR="00B77476" w:rsidRPr="00B01A9C">
        <w:rPr>
          <w:sz w:val="20"/>
          <w:szCs w:val="20"/>
          <w:lang w:val="en-US"/>
        </w:rPr>
        <w:t xml:space="preserve"> in a capacity market</w:t>
      </w:r>
      <w:r w:rsidR="0091783E" w:rsidRPr="00B01A9C">
        <w:rPr>
          <w:sz w:val="20"/>
          <w:szCs w:val="20"/>
          <w:lang w:val="en-US"/>
        </w:rPr>
        <w:t xml:space="preserve"> (long-term)</w:t>
      </w:r>
      <w:r w:rsidR="00B77476" w:rsidRPr="00B01A9C">
        <w:rPr>
          <w:sz w:val="20"/>
          <w:szCs w:val="20"/>
          <w:lang w:val="en-US"/>
        </w:rPr>
        <w:t xml:space="preserve"> design can provide</w:t>
      </w:r>
      <w:r w:rsidR="00D828C5" w:rsidRPr="00B01A9C">
        <w:rPr>
          <w:sz w:val="20"/>
          <w:szCs w:val="20"/>
          <w:lang w:val="en-US"/>
        </w:rPr>
        <w:t xml:space="preserve"> </w:t>
      </w:r>
      <w:r w:rsidR="00466A7F" w:rsidRPr="00B01A9C">
        <w:rPr>
          <w:sz w:val="20"/>
          <w:szCs w:val="20"/>
          <w:lang w:val="en-US"/>
        </w:rPr>
        <w:t xml:space="preserve">higher energy market revenues, </w:t>
      </w:r>
      <w:r w:rsidR="00D828C5" w:rsidRPr="00B01A9C">
        <w:rPr>
          <w:sz w:val="20"/>
          <w:szCs w:val="20"/>
          <w:lang w:val="en-US"/>
        </w:rPr>
        <w:t xml:space="preserve">strong investment signals </w:t>
      </w:r>
      <w:r w:rsidR="00466A7F" w:rsidRPr="00B01A9C">
        <w:rPr>
          <w:sz w:val="20"/>
          <w:szCs w:val="20"/>
          <w:lang w:val="en-US"/>
        </w:rPr>
        <w:t xml:space="preserve">and </w:t>
      </w:r>
      <w:r w:rsidR="00D828C5" w:rsidRPr="00B01A9C">
        <w:rPr>
          <w:sz w:val="20"/>
          <w:szCs w:val="20"/>
          <w:lang w:val="en-US"/>
        </w:rPr>
        <w:t>promote demand response</w:t>
      </w:r>
      <w:r w:rsidR="00B80D08">
        <w:rPr>
          <w:sz w:val="20"/>
          <w:szCs w:val="20"/>
          <w:lang w:val="en-US"/>
        </w:rPr>
        <w:t xml:space="preserve"> </w:t>
      </w:r>
      <w:r w:rsidR="00B80D08">
        <w:rPr>
          <w:sz w:val="20"/>
          <w:szCs w:val="20"/>
          <w:lang w:val="en-US"/>
        </w:rPr>
        <w:fldChar w:fldCharType="begin" w:fldLock="1"/>
      </w:r>
      <w:r w:rsidR="00B80D08">
        <w:rPr>
          <w:sz w:val="20"/>
          <w:szCs w:val="20"/>
          <w:lang w:val="en-US"/>
        </w:rPr>
        <w:instrText>ADDIN CSL_CITATION {"citationItems":[{"id":"ITEM-1","itemData":{"abstract":"The Brattle Group has been commissioned by PJM Interconnection L.L.C. (PJM) to produce a\\nwhitepaper that compares and contrasts the PJM Reliability Pricing Model (RPM) with\\nalternative power market designs and evaluates each design</w:instrText>
      </w:r>
      <w:r w:rsidR="00B80D08">
        <w:rPr>
          <w:rFonts w:ascii="Tahoma" w:hAnsi="Tahoma" w:cs="Tahoma"/>
          <w:sz w:val="20"/>
          <w:szCs w:val="20"/>
          <w:lang w:val="en-US"/>
        </w:rPr>
        <w:instrText>�</w:instrText>
      </w:r>
      <w:r w:rsidR="00B80D08">
        <w:rPr>
          <w:sz w:val="20"/>
          <w:szCs w:val="20"/>
          <w:lang w:val="en-US"/>
        </w:rPr>
        <w:instrText>s ability to maintain resource\\nadequacy. We examine six alternative market designs, beginning with pure energy-only markets\\nand progressing to more highly-structured designs that rely on administratively-determined\\ncapacity payments or explicit current or forward reserve requirements in possible combination\\nwith centralized capacity markets. For each of these market designs, we summarize relevant\\nU.S. and international experience and discuss the advantages and disadvantages of the various\\napproaches.","author":[{"dropping-particle":"","family":"Pfeifenberger","given":"Johannes P.","non-dropping-particle":"","parse-names":false,"suffix":""},{"dropping-particle":"","family":"Spees","given":"Kathleen","non-dropping-particle":"","parse-names":false,"suffix":""},{"dropping-particle":"","family":"Schumacher","given":"Adam","non-dropping-particle":"","parse-names":false,"suffix":""}],"id":"ITEM-1","issue":"September","issued":{"date-parts":[["2009"]]},"page":"1-90","title":"A Comparison of PJM’s RPM with Alternative Energy and Capacity Market Designs","type":"article-journal"},"uris":["http://www.mendeley.com/documents/?uuid=1eeee4b3-62d4-4a29-9523-d0db3edcffb4"]}],"mendeley":{"formattedCitation":"[7]","plainTextFormattedCitation":"[7]"},"properties":{"noteIndex":0},"schema":"https://github.com/citation-style-language/schema/raw/master/csl-citation.json"}</w:instrText>
      </w:r>
      <w:r w:rsidR="00B80D08">
        <w:rPr>
          <w:sz w:val="20"/>
          <w:szCs w:val="20"/>
          <w:lang w:val="en-US"/>
        </w:rPr>
        <w:fldChar w:fldCharType="separate"/>
      </w:r>
      <w:r w:rsidR="00B80D08" w:rsidRPr="00B80D08">
        <w:rPr>
          <w:noProof/>
          <w:sz w:val="20"/>
          <w:szCs w:val="20"/>
          <w:lang w:val="en-US"/>
        </w:rPr>
        <w:t>[7]</w:t>
      </w:r>
      <w:r w:rsidR="00B80D08">
        <w:rPr>
          <w:sz w:val="20"/>
          <w:szCs w:val="20"/>
          <w:lang w:val="en-US"/>
        </w:rPr>
        <w:fldChar w:fldCharType="end"/>
      </w:r>
      <w:r w:rsidR="00EA0A4E" w:rsidRPr="00B01A9C">
        <w:rPr>
          <w:sz w:val="20"/>
          <w:szCs w:val="20"/>
          <w:lang w:val="en-US"/>
        </w:rPr>
        <w:t xml:space="preserve">. </w:t>
      </w:r>
      <w:r w:rsidR="00466A7F" w:rsidRPr="00B01A9C">
        <w:rPr>
          <w:sz w:val="20"/>
          <w:szCs w:val="20"/>
          <w:lang w:val="en-US"/>
        </w:rPr>
        <w:t xml:space="preserve">It </w:t>
      </w:r>
      <w:r w:rsidR="00F02FD3" w:rsidRPr="00B01A9C">
        <w:rPr>
          <w:sz w:val="20"/>
          <w:szCs w:val="20"/>
          <w:lang w:val="en-US"/>
        </w:rPr>
        <w:t xml:space="preserve">is important to stress that </w:t>
      </w:r>
      <w:r w:rsidR="004B39E4" w:rsidRPr="00B01A9C">
        <w:rPr>
          <w:sz w:val="20"/>
          <w:szCs w:val="20"/>
          <w:lang w:val="en-US"/>
        </w:rPr>
        <w:t>a</w:t>
      </w:r>
      <w:r w:rsidR="00466A7F" w:rsidRPr="00B01A9C">
        <w:rPr>
          <w:sz w:val="20"/>
          <w:szCs w:val="20"/>
          <w:lang w:val="en-US"/>
        </w:rPr>
        <w:t xml:space="preserve"> capacity </w:t>
      </w:r>
      <w:r w:rsidR="00EB6CDF" w:rsidRPr="00B01A9C">
        <w:rPr>
          <w:sz w:val="20"/>
          <w:szCs w:val="20"/>
          <w:lang w:val="en-US"/>
        </w:rPr>
        <w:t>market</w:t>
      </w:r>
      <w:r w:rsidR="00F908D1" w:rsidRPr="00B01A9C">
        <w:rPr>
          <w:sz w:val="20"/>
          <w:szCs w:val="20"/>
          <w:lang w:val="en-US"/>
        </w:rPr>
        <w:t xml:space="preserve"> is </w:t>
      </w:r>
      <w:r w:rsidR="0056761F" w:rsidRPr="00B01A9C">
        <w:rPr>
          <w:sz w:val="20"/>
          <w:szCs w:val="20"/>
          <w:lang w:val="en-US"/>
        </w:rPr>
        <w:t xml:space="preserve">an </w:t>
      </w:r>
      <w:r w:rsidR="00F908D1" w:rsidRPr="00B01A9C">
        <w:rPr>
          <w:sz w:val="20"/>
          <w:szCs w:val="20"/>
          <w:lang w:val="en-US"/>
        </w:rPr>
        <w:t>example of</w:t>
      </w:r>
      <w:r w:rsidR="0056761F" w:rsidRPr="00B01A9C">
        <w:rPr>
          <w:sz w:val="20"/>
          <w:szCs w:val="20"/>
          <w:lang w:val="en-US"/>
        </w:rPr>
        <w:t xml:space="preserve"> a</w:t>
      </w:r>
      <w:r w:rsidR="00F908D1" w:rsidRPr="00B01A9C">
        <w:rPr>
          <w:sz w:val="20"/>
          <w:szCs w:val="20"/>
          <w:lang w:val="en-US"/>
        </w:rPr>
        <w:t xml:space="preserve"> quantity-based mechanism </w:t>
      </w:r>
      <w:r w:rsidR="00C979BD" w:rsidRPr="00B01A9C">
        <w:rPr>
          <w:sz w:val="20"/>
          <w:szCs w:val="20"/>
          <w:lang w:val="en-US"/>
        </w:rPr>
        <w:t xml:space="preserve">where </w:t>
      </w:r>
      <w:r w:rsidR="00B67B20" w:rsidRPr="00B01A9C">
        <w:rPr>
          <w:sz w:val="20"/>
          <w:szCs w:val="20"/>
          <w:lang w:val="en-US"/>
        </w:rPr>
        <w:t xml:space="preserve">all generators are compensated </w:t>
      </w:r>
      <w:r w:rsidR="00F02FD3" w:rsidRPr="00B01A9C">
        <w:rPr>
          <w:sz w:val="20"/>
          <w:szCs w:val="20"/>
          <w:lang w:val="en-US"/>
        </w:rPr>
        <w:t>for their available capacity during</w:t>
      </w:r>
      <w:r w:rsidR="00EB6CDF" w:rsidRPr="00B01A9C">
        <w:rPr>
          <w:sz w:val="20"/>
          <w:szCs w:val="20"/>
          <w:lang w:val="en-US"/>
        </w:rPr>
        <w:t xml:space="preserve"> specific</w:t>
      </w:r>
      <w:r w:rsidR="00F02FD3" w:rsidRPr="00B01A9C">
        <w:rPr>
          <w:sz w:val="20"/>
          <w:szCs w:val="20"/>
          <w:lang w:val="en-US"/>
        </w:rPr>
        <w:t xml:space="preserve"> delivery periods</w:t>
      </w:r>
      <w:r w:rsidR="00F908D1" w:rsidRPr="00B01A9C">
        <w:rPr>
          <w:sz w:val="20"/>
          <w:szCs w:val="20"/>
          <w:lang w:val="en-US"/>
        </w:rPr>
        <w:t xml:space="preserve">. </w:t>
      </w:r>
      <w:r w:rsidR="00A20002" w:rsidRPr="00B01A9C">
        <w:rPr>
          <w:sz w:val="20"/>
          <w:szCs w:val="20"/>
          <w:lang w:val="en-US"/>
        </w:rPr>
        <w:t xml:space="preserve">On the other hand, </w:t>
      </w:r>
      <w:r w:rsidR="00F908D1" w:rsidRPr="00B01A9C">
        <w:rPr>
          <w:sz w:val="20"/>
          <w:szCs w:val="20"/>
          <w:lang w:val="en-US"/>
        </w:rPr>
        <w:t>scarcity pricing is</w:t>
      </w:r>
      <w:r w:rsidR="00A20002" w:rsidRPr="00B01A9C">
        <w:rPr>
          <w:sz w:val="20"/>
          <w:szCs w:val="20"/>
          <w:lang w:val="en-US"/>
        </w:rPr>
        <w:t xml:space="preserve"> a</w:t>
      </w:r>
      <w:r w:rsidR="00F908D1" w:rsidRPr="00B01A9C">
        <w:rPr>
          <w:sz w:val="20"/>
          <w:szCs w:val="20"/>
          <w:lang w:val="en-US"/>
        </w:rPr>
        <w:t xml:space="preserve"> price-based approach that sets a high price cap </w:t>
      </w:r>
      <w:r w:rsidR="00EB6CDF" w:rsidRPr="00B01A9C">
        <w:rPr>
          <w:sz w:val="20"/>
          <w:szCs w:val="20"/>
          <w:lang w:val="en-US"/>
        </w:rPr>
        <w:t xml:space="preserve">up to the </w:t>
      </w:r>
      <w:r w:rsidR="00F908D1" w:rsidRPr="00B01A9C">
        <w:rPr>
          <w:sz w:val="20"/>
          <w:szCs w:val="20"/>
          <w:lang w:val="en-US"/>
        </w:rPr>
        <w:t>Value of Lost Load</w:t>
      </w:r>
      <w:r w:rsidR="00EB6CDF" w:rsidRPr="00B01A9C">
        <w:rPr>
          <w:sz w:val="20"/>
          <w:szCs w:val="20"/>
          <w:lang w:val="en-US"/>
        </w:rPr>
        <w:t xml:space="preserve"> (VOLL)</w:t>
      </w:r>
      <w:r w:rsidR="00F908D1" w:rsidRPr="00B01A9C">
        <w:rPr>
          <w:sz w:val="20"/>
          <w:szCs w:val="20"/>
          <w:lang w:val="en-US"/>
        </w:rPr>
        <w:t>.</w:t>
      </w:r>
      <w:r w:rsidR="00466A7F" w:rsidRPr="00B01A9C">
        <w:rPr>
          <w:sz w:val="20"/>
          <w:szCs w:val="20"/>
          <w:lang w:val="en-US"/>
        </w:rPr>
        <w:t xml:space="preserve"> </w:t>
      </w:r>
      <w:r w:rsidR="00304C84" w:rsidRPr="00B01A9C">
        <w:rPr>
          <w:sz w:val="20"/>
          <w:szCs w:val="20"/>
          <w:lang w:val="en-US"/>
        </w:rPr>
        <w:t xml:space="preserve">Several North American Regional Transmission Organizations (RTOs), such as </w:t>
      </w:r>
      <w:r w:rsidR="00466A7F" w:rsidRPr="00B01A9C">
        <w:rPr>
          <w:sz w:val="20"/>
          <w:szCs w:val="20"/>
          <w:lang w:val="en-US"/>
        </w:rPr>
        <w:t>PJM</w:t>
      </w:r>
      <w:r w:rsidR="00304C84" w:rsidRPr="00B01A9C">
        <w:rPr>
          <w:sz w:val="20"/>
          <w:szCs w:val="20"/>
          <w:lang w:val="en-US"/>
        </w:rPr>
        <w:t>,</w:t>
      </w:r>
      <w:r w:rsidR="00466A7F" w:rsidRPr="00B01A9C">
        <w:rPr>
          <w:sz w:val="20"/>
          <w:szCs w:val="20"/>
          <w:lang w:val="en-US"/>
        </w:rPr>
        <w:t xml:space="preserve"> ISO-NE</w:t>
      </w:r>
      <w:r w:rsidR="00304C84" w:rsidRPr="00B01A9C">
        <w:rPr>
          <w:sz w:val="20"/>
          <w:szCs w:val="20"/>
          <w:lang w:val="en-US"/>
        </w:rPr>
        <w:t>, NYISO have incorporated scarcity pricing in their capacity market designs.</w:t>
      </w:r>
    </w:p>
    <w:p w:rsidR="005F7BD4" w:rsidRPr="00B01A9C" w:rsidRDefault="005F7BD4" w:rsidP="00B01A9C">
      <w:pPr>
        <w:spacing w:after="120"/>
        <w:jc w:val="both"/>
        <w:rPr>
          <w:sz w:val="20"/>
          <w:szCs w:val="20"/>
          <w:lang w:val="en-US"/>
        </w:rPr>
      </w:pPr>
      <w:r w:rsidRPr="00B01A9C">
        <w:rPr>
          <w:sz w:val="20"/>
          <w:szCs w:val="20"/>
          <w:lang w:val="en-US"/>
        </w:rPr>
        <w:t>Th</w:t>
      </w:r>
      <w:r w:rsidR="000568A0" w:rsidRPr="00B01A9C">
        <w:rPr>
          <w:sz w:val="20"/>
          <w:szCs w:val="20"/>
          <w:lang w:val="en-US"/>
        </w:rPr>
        <w:t>is article</w:t>
      </w:r>
      <w:r w:rsidRPr="00B01A9C">
        <w:rPr>
          <w:sz w:val="20"/>
          <w:szCs w:val="20"/>
          <w:lang w:val="en-US"/>
        </w:rPr>
        <w:t xml:space="preserve"> </w:t>
      </w:r>
      <w:r w:rsidR="000568A0" w:rsidRPr="00B01A9C">
        <w:rPr>
          <w:sz w:val="20"/>
          <w:szCs w:val="20"/>
          <w:lang w:val="en-US"/>
        </w:rPr>
        <w:t xml:space="preserve">draws upon the </w:t>
      </w:r>
      <w:r w:rsidR="00DF5E4D" w:rsidRPr="00B01A9C">
        <w:rPr>
          <w:sz w:val="20"/>
          <w:szCs w:val="20"/>
          <w:lang w:val="en-US"/>
        </w:rPr>
        <w:t xml:space="preserve">international </w:t>
      </w:r>
      <w:r w:rsidR="000568A0" w:rsidRPr="00B01A9C">
        <w:rPr>
          <w:sz w:val="20"/>
          <w:szCs w:val="20"/>
          <w:lang w:val="en-US"/>
        </w:rPr>
        <w:t xml:space="preserve">experiences in implementing scarcity pricing combined with capacity markets </w:t>
      </w:r>
      <w:r w:rsidR="008B704C" w:rsidRPr="00B01A9C">
        <w:rPr>
          <w:sz w:val="20"/>
          <w:szCs w:val="20"/>
          <w:lang w:val="en-US"/>
        </w:rPr>
        <w:t xml:space="preserve">(e.g., United States, Canada, New Zealand) </w:t>
      </w:r>
      <w:r w:rsidR="000568A0" w:rsidRPr="00B01A9C">
        <w:rPr>
          <w:sz w:val="20"/>
          <w:szCs w:val="20"/>
          <w:lang w:val="en-US"/>
        </w:rPr>
        <w:t>to provide</w:t>
      </w:r>
      <w:r w:rsidR="00011436" w:rsidRPr="00B01A9C">
        <w:rPr>
          <w:sz w:val="20"/>
          <w:szCs w:val="20"/>
          <w:lang w:val="en-US"/>
        </w:rPr>
        <w:t xml:space="preserve"> </w:t>
      </w:r>
      <w:r w:rsidR="005166D8" w:rsidRPr="00B01A9C">
        <w:rPr>
          <w:sz w:val="20"/>
          <w:szCs w:val="20"/>
          <w:lang w:val="en-US"/>
        </w:rPr>
        <w:t>a se</w:t>
      </w:r>
      <w:r w:rsidR="00DF5E4D" w:rsidRPr="00B01A9C">
        <w:rPr>
          <w:sz w:val="20"/>
          <w:szCs w:val="20"/>
          <w:lang w:val="en-US"/>
        </w:rPr>
        <w:t>t</w:t>
      </w:r>
      <w:r w:rsidR="005166D8" w:rsidRPr="00B01A9C">
        <w:rPr>
          <w:sz w:val="20"/>
          <w:szCs w:val="20"/>
          <w:lang w:val="en-US"/>
        </w:rPr>
        <w:t xml:space="preserve"> of </w:t>
      </w:r>
      <w:r w:rsidR="00011436" w:rsidRPr="00B01A9C">
        <w:rPr>
          <w:sz w:val="20"/>
          <w:szCs w:val="20"/>
          <w:lang w:val="en-US"/>
        </w:rPr>
        <w:t>recommendations</w:t>
      </w:r>
      <w:r w:rsidR="005166D8" w:rsidRPr="00B01A9C">
        <w:rPr>
          <w:sz w:val="20"/>
          <w:szCs w:val="20"/>
          <w:lang w:val="en-US"/>
        </w:rPr>
        <w:t xml:space="preserve"> aimed to mitigate </w:t>
      </w:r>
      <w:r w:rsidR="008B704C" w:rsidRPr="00B01A9C">
        <w:rPr>
          <w:sz w:val="20"/>
          <w:szCs w:val="20"/>
          <w:lang w:val="en-US"/>
        </w:rPr>
        <w:t>future</w:t>
      </w:r>
      <w:r w:rsidR="005166D8" w:rsidRPr="00B01A9C">
        <w:rPr>
          <w:sz w:val="20"/>
          <w:szCs w:val="20"/>
          <w:lang w:val="en-US"/>
        </w:rPr>
        <w:t xml:space="preserve"> regulatory uncertainties</w:t>
      </w:r>
      <w:r w:rsidR="00DF5E4D" w:rsidRPr="00B01A9C">
        <w:rPr>
          <w:sz w:val="20"/>
          <w:szCs w:val="20"/>
          <w:lang w:val="en-US"/>
        </w:rPr>
        <w:t xml:space="preserve"> in Poland</w:t>
      </w:r>
      <w:r w:rsidR="005166D8" w:rsidRPr="00B01A9C">
        <w:rPr>
          <w:sz w:val="20"/>
          <w:szCs w:val="20"/>
          <w:lang w:val="en-US"/>
        </w:rPr>
        <w:t xml:space="preserve">. </w:t>
      </w:r>
      <w:r w:rsidRPr="00B01A9C">
        <w:rPr>
          <w:sz w:val="20"/>
          <w:szCs w:val="20"/>
          <w:lang w:val="en-US"/>
        </w:rPr>
        <w:t xml:space="preserve">The analysis will </w:t>
      </w:r>
      <w:proofErr w:type="gramStart"/>
      <w:r w:rsidR="002711B5" w:rsidRPr="00B01A9C">
        <w:rPr>
          <w:sz w:val="20"/>
          <w:szCs w:val="20"/>
          <w:lang w:val="en-US"/>
        </w:rPr>
        <w:t>take into account</w:t>
      </w:r>
      <w:proofErr w:type="gramEnd"/>
      <w:r w:rsidR="002711B5" w:rsidRPr="00B01A9C">
        <w:rPr>
          <w:sz w:val="20"/>
          <w:szCs w:val="20"/>
          <w:lang w:val="en-US"/>
        </w:rPr>
        <w:t xml:space="preserve"> the pricing reforms introduced in the local network codes o</w:t>
      </w:r>
      <w:r w:rsidR="008B704C" w:rsidRPr="00B01A9C">
        <w:rPr>
          <w:sz w:val="20"/>
          <w:szCs w:val="20"/>
          <w:lang w:val="en-US"/>
        </w:rPr>
        <w:t>f</w:t>
      </w:r>
      <w:r w:rsidR="002711B5" w:rsidRPr="00B01A9C">
        <w:rPr>
          <w:sz w:val="20"/>
          <w:szCs w:val="20"/>
          <w:lang w:val="en-US"/>
        </w:rPr>
        <w:t xml:space="preserve"> the balancing market and will </w:t>
      </w:r>
      <w:r w:rsidRPr="00B01A9C">
        <w:rPr>
          <w:sz w:val="20"/>
          <w:szCs w:val="20"/>
          <w:lang w:val="en-US"/>
        </w:rPr>
        <w:t xml:space="preserve">highlight the structural </w:t>
      </w:r>
      <w:r w:rsidR="002711B5" w:rsidRPr="00B01A9C">
        <w:rPr>
          <w:sz w:val="20"/>
          <w:szCs w:val="20"/>
          <w:lang w:val="en-US"/>
        </w:rPr>
        <w:t xml:space="preserve">elements </w:t>
      </w:r>
      <w:r w:rsidRPr="00B01A9C">
        <w:rPr>
          <w:sz w:val="20"/>
          <w:szCs w:val="20"/>
          <w:lang w:val="en-US"/>
        </w:rPr>
        <w:t xml:space="preserve">of price formation </w:t>
      </w:r>
      <w:r w:rsidR="002711B5" w:rsidRPr="00B01A9C">
        <w:rPr>
          <w:sz w:val="20"/>
          <w:szCs w:val="20"/>
          <w:lang w:val="en-US"/>
        </w:rPr>
        <w:t xml:space="preserve">in the Polish </w:t>
      </w:r>
      <w:r w:rsidRPr="00B01A9C">
        <w:rPr>
          <w:sz w:val="20"/>
          <w:szCs w:val="20"/>
          <w:lang w:val="en-US"/>
        </w:rPr>
        <w:t>electricity market</w:t>
      </w:r>
      <w:r w:rsidR="002711B5" w:rsidRPr="00B01A9C">
        <w:rPr>
          <w:sz w:val="20"/>
          <w:szCs w:val="20"/>
          <w:lang w:val="en-US"/>
        </w:rPr>
        <w:t xml:space="preserve">. </w:t>
      </w:r>
      <w:r w:rsidRPr="00B01A9C">
        <w:rPr>
          <w:sz w:val="20"/>
          <w:szCs w:val="20"/>
          <w:lang w:val="en-US"/>
        </w:rPr>
        <w:t xml:space="preserve">After analyzing the causes of </w:t>
      </w:r>
      <w:r w:rsidR="008B704C" w:rsidRPr="00B01A9C">
        <w:rPr>
          <w:sz w:val="20"/>
          <w:szCs w:val="20"/>
          <w:lang w:val="en-US"/>
        </w:rPr>
        <w:t xml:space="preserve">potential </w:t>
      </w:r>
      <w:r w:rsidRPr="00B01A9C">
        <w:rPr>
          <w:sz w:val="20"/>
          <w:szCs w:val="20"/>
          <w:lang w:val="en-US"/>
        </w:rPr>
        <w:t>scarcity</w:t>
      </w:r>
      <w:r w:rsidR="008C7C90">
        <w:rPr>
          <w:sz w:val="20"/>
          <w:szCs w:val="20"/>
          <w:lang w:val="en-US"/>
        </w:rPr>
        <w:t xml:space="preserve"> in Poland</w:t>
      </w:r>
      <w:r w:rsidR="008B704C" w:rsidRPr="00B01A9C">
        <w:rPr>
          <w:sz w:val="20"/>
          <w:szCs w:val="20"/>
          <w:lang w:val="en-US"/>
        </w:rPr>
        <w:t xml:space="preserve">, this article will attempt to provide a comparison of the </w:t>
      </w:r>
      <w:r w:rsidRPr="00B01A9C">
        <w:rPr>
          <w:sz w:val="20"/>
          <w:szCs w:val="20"/>
          <w:lang w:val="en-US"/>
        </w:rPr>
        <w:t>applicability of</w:t>
      </w:r>
      <w:r w:rsidR="008B704C" w:rsidRPr="00B01A9C">
        <w:rPr>
          <w:sz w:val="20"/>
          <w:szCs w:val="20"/>
          <w:lang w:val="en-US"/>
        </w:rPr>
        <w:t xml:space="preserve"> </w:t>
      </w:r>
      <w:r w:rsidR="00753A83" w:rsidRPr="00B01A9C">
        <w:rPr>
          <w:sz w:val="20"/>
          <w:szCs w:val="20"/>
          <w:lang w:val="en-US"/>
        </w:rPr>
        <w:t xml:space="preserve">possible measures </w:t>
      </w:r>
      <w:r w:rsidR="008C7C90">
        <w:rPr>
          <w:sz w:val="20"/>
          <w:szCs w:val="20"/>
          <w:lang w:val="en-US"/>
        </w:rPr>
        <w:t xml:space="preserve">to the Polish electricity market </w:t>
      </w:r>
      <w:r w:rsidR="00753A83" w:rsidRPr="00B01A9C">
        <w:rPr>
          <w:sz w:val="20"/>
          <w:szCs w:val="20"/>
          <w:lang w:val="en-US"/>
        </w:rPr>
        <w:t xml:space="preserve">such as </w:t>
      </w:r>
      <w:r w:rsidR="008B704C" w:rsidRPr="00B01A9C">
        <w:rPr>
          <w:sz w:val="20"/>
          <w:szCs w:val="20"/>
          <w:lang w:val="en-US"/>
        </w:rPr>
        <w:t>Demand Side Response</w:t>
      </w:r>
      <w:r w:rsidR="003839DA" w:rsidRPr="00B01A9C">
        <w:rPr>
          <w:sz w:val="20"/>
          <w:szCs w:val="20"/>
          <w:lang w:val="en-US"/>
        </w:rPr>
        <w:t xml:space="preserve"> (DSR), </w:t>
      </w:r>
      <w:r w:rsidR="00753A83" w:rsidRPr="00B01A9C">
        <w:rPr>
          <w:sz w:val="20"/>
          <w:szCs w:val="20"/>
          <w:lang w:val="en-US"/>
        </w:rPr>
        <w:t>lifting the price cap</w:t>
      </w:r>
      <w:r w:rsidR="003839DA" w:rsidRPr="00B01A9C">
        <w:rPr>
          <w:sz w:val="20"/>
          <w:szCs w:val="20"/>
          <w:lang w:val="en-US"/>
        </w:rPr>
        <w:t>, among others.</w:t>
      </w:r>
    </w:p>
    <w:p w:rsidR="0054629A" w:rsidRPr="00B01A9C" w:rsidRDefault="003973BA">
      <w:pPr>
        <w:pStyle w:val="Heading4"/>
        <w:rPr>
          <w:lang w:val="en-US"/>
        </w:rPr>
      </w:pPr>
      <w:r w:rsidRPr="00B01A9C">
        <w:rPr>
          <w:b/>
          <w:lang w:val="en-US"/>
        </w:rPr>
        <w:t>Methods</w:t>
      </w:r>
    </w:p>
    <w:p w:rsidR="00496733" w:rsidRPr="00B01A9C" w:rsidRDefault="005F63A6" w:rsidP="003A4076">
      <w:pPr>
        <w:jc w:val="both"/>
        <w:rPr>
          <w:sz w:val="20"/>
          <w:szCs w:val="20"/>
          <w:lang w:val="en-US"/>
        </w:rPr>
      </w:pPr>
      <w:r w:rsidRPr="00B01A9C">
        <w:rPr>
          <w:sz w:val="20"/>
          <w:szCs w:val="20"/>
          <w:lang w:val="en-US"/>
        </w:rPr>
        <w:t xml:space="preserve">This article </w:t>
      </w:r>
      <w:r w:rsidR="00E069A2" w:rsidRPr="00B01A9C">
        <w:rPr>
          <w:sz w:val="20"/>
          <w:szCs w:val="20"/>
          <w:lang w:val="en-US"/>
        </w:rPr>
        <w:t>describes</w:t>
      </w:r>
      <w:r w:rsidR="006B5250" w:rsidRPr="00B01A9C">
        <w:rPr>
          <w:sz w:val="20"/>
          <w:szCs w:val="20"/>
          <w:lang w:val="en-US"/>
        </w:rPr>
        <w:t xml:space="preserve"> the international experiences of </w:t>
      </w:r>
      <w:r w:rsidR="00E069A2" w:rsidRPr="00B01A9C">
        <w:rPr>
          <w:sz w:val="20"/>
          <w:szCs w:val="20"/>
          <w:lang w:val="en-US"/>
        </w:rPr>
        <w:t>regi</w:t>
      </w:r>
      <w:r w:rsidR="0061733A" w:rsidRPr="00B01A9C">
        <w:rPr>
          <w:sz w:val="20"/>
          <w:szCs w:val="20"/>
          <w:lang w:val="en-US"/>
        </w:rPr>
        <w:t>o</w:t>
      </w:r>
      <w:r w:rsidR="00E069A2" w:rsidRPr="00B01A9C">
        <w:rPr>
          <w:sz w:val="20"/>
          <w:szCs w:val="20"/>
          <w:lang w:val="en-US"/>
        </w:rPr>
        <w:t xml:space="preserve">nal transmission organizations </w:t>
      </w:r>
      <w:r w:rsidRPr="00B01A9C">
        <w:rPr>
          <w:sz w:val="20"/>
          <w:szCs w:val="20"/>
          <w:lang w:val="en-US"/>
        </w:rPr>
        <w:t>on the incorporation of scarcity pricing in a capacity market</w:t>
      </w:r>
      <w:r w:rsidR="00FA6ED6" w:rsidRPr="00B01A9C">
        <w:rPr>
          <w:sz w:val="20"/>
          <w:szCs w:val="20"/>
          <w:lang w:val="en-US"/>
        </w:rPr>
        <w:t xml:space="preserve">. </w:t>
      </w:r>
      <w:r w:rsidR="006118D6" w:rsidRPr="00B01A9C">
        <w:rPr>
          <w:sz w:val="20"/>
          <w:szCs w:val="20"/>
          <w:lang w:val="en-US"/>
        </w:rPr>
        <w:t>I</w:t>
      </w:r>
      <w:r w:rsidR="00FA6ED6" w:rsidRPr="00B01A9C">
        <w:rPr>
          <w:sz w:val="20"/>
          <w:szCs w:val="20"/>
          <w:lang w:val="en-US"/>
        </w:rPr>
        <w:t xml:space="preserve">t </w:t>
      </w:r>
      <w:r w:rsidR="006B5250" w:rsidRPr="00B01A9C">
        <w:rPr>
          <w:sz w:val="20"/>
          <w:szCs w:val="20"/>
          <w:lang w:val="en-US"/>
        </w:rPr>
        <w:t>review</w:t>
      </w:r>
      <w:r w:rsidRPr="00B01A9C">
        <w:rPr>
          <w:sz w:val="20"/>
          <w:szCs w:val="20"/>
          <w:lang w:val="en-US"/>
        </w:rPr>
        <w:t>s</w:t>
      </w:r>
      <w:r w:rsidR="006B5250" w:rsidRPr="00B01A9C">
        <w:rPr>
          <w:sz w:val="20"/>
          <w:szCs w:val="20"/>
          <w:lang w:val="en-US"/>
        </w:rPr>
        <w:t xml:space="preserve"> the </w:t>
      </w:r>
      <w:r w:rsidRPr="00B01A9C">
        <w:rPr>
          <w:sz w:val="20"/>
          <w:szCs w:val="20"/>
          <w:lang w:val="en-US"/>
        </w:rPr>
        <w:t xml:space="preserve">existing </w:t>
      </w:r>
      <w:r w:rsidR="006B5250" w:rsidRPr="00B01A9C">
        <w:rPr>
          <w:sz w:val="20"/>
          <w:szCs w:val="20"/>
          <w:lang w:val="en-US"/>
        </w:rPr>
        <w:t>literature</w:t>
      </w:r>
      <w:r w:rsidRPr="00B01A9C">
        <w:rPr>
          <w:sz w:val="20"/>
          <w:szCs w:val="20"/>
          <w:lang w:val="en-US"/>
        </w:rPr>
        <w:t xml:space="preserve"> </w:t>
      </w:r>
      <w:r w:rsidR="00FA6ED6" w:rsidRPr="00B01A9C">
        <w:rPr>
          <w:sz w:val="20"/>
          <w:szCs w:val="20"/>
          <w:lang w:val="en-US"/>
        </w:rPr>
        <w:t xml:space="preserve">on </w:t>
      </w:r>
      <w:r w:rsidR="002E61D4" w:rsidRPr="00B01A9C">
        <w:rPr>
          <w:sz w:val="20"/>
          <w:szCs w:val="20"/>
          <w:lang w:val="en-US"/>
        </w:rPr>
        <w:t xml:space="preserve">capacity markets and scarcity pricing for the </w:t>
      </w:r>
      <w:r w:rsidRPr="00B01A9C">
        <w:rPr>
          <w:sz w:val="20"/>
          <w:szCs w:val="20"/>
          <w:lang w:val="en-US"/>
        </w:rPr>
        <w:t>last 10 years</w:t>
      </w:r>
      <w:r w:rsidR="006B5250" w:rsidRPr="00B01A9C">
        <w:rPr>
          <w:sz w:val="20"/>
          <w:szCs w:val="20"/>
          <w:lang w:val="en-US"/>
        </w:rPr>
        <w:t xml:space="preserve"> (e.g., scientific journals, regulatory commission, RTO reports, case reports, etc.)</w:t>
      </w:r>
      <w:r w:rsidR="00D20F3F" w:rsidRPr="00B01A9C">
        <w:rPr>
          <w:sz w:val="20"/>
          <w:szCs w:val="20"/>
          <w:lang w:val="en-US"/>
        </w:rPr>
        <w:t xml:space="preserve">. </w:t>
      </w:r>
      <w:r w:rsidR="006118D6" w:rsidRPr="00B01A9C">
        <w:rPr>
          <w:sz w:val="20"/>
          <w:szCs w:val="20"/>
          <w:lang w:val="en-US"/>
        </w:rPr>
        <w:t>Also, the paper presents a framework to compare the</w:t>
      </w:r>
      <w:r w:rsidR="007F096C" w:rsidRPr="00B01A9C">
        <w:rPr>
          <w:sz w:val="20"/>
          <w:szCs w:val="20"/>
          <w:lang w:val="en-US"/>
        </w:rPr>
        <w:t xml:space="preserve"> critical differences between </w:t>
      </w:r>
      <w:r w:rsidR="007C0C90">
        <w:rPr>
          <w:sz w:val="20"/>
          <w:szCs w:val="20"/>
          <w:lang w:val="en-US"/>
        </w:rPr>
        <w:t xml:space="preserve">market designs that incorporate </w:t>
      </w:r>
      <w:r w:rsidR="00F55760" w:rsidRPr="00B01A9C">
        <w:rPr>
          <w:sz w:val="20"/>
          <w:szCs w:val="20"/>
          <w:lang w:val="en-US"/>
        </w:rPr>
        <w:t>scarcity pricing</w:t>
      </w:r>
      <w:r w:rsidR="006E753F" w:rsidRPr="00B01A9C">
        <w:rPr>
          <w:sz w:val="20"/>
          <w:szCs w:val="20"/>
          <w:lang w:val="en-US"/>
        </w:rPr>
        <w:t xml:space="preserve"> </w:t>
      </w:r>
      <w:r w:rsidR="007C0C90">
        <w:rPr>
          <w:sz w:val="20"/>
          <w:szCs w:val="20"/>
          <w:lang w:val="en-US"/>
        </w:rPr>
        <w:t xml:space="preserve">and </w:t>
      </w:r>
      <w:r w:rsidR="00F55760" w:rsidRPr="00B01A9C">
        <w:rPr>
          <w:sz w:val="20"/>
          <w:szCs w:val="20"/>
          <w:lang w:val="en-US"/>
        </w:rPr>
        <w:t>capacity market</w:t>
      </w:r>
      <w:r w:rsidR="007C0C90">
        <w:rPr>
          <w:sz w:val="20"/>
          <w:szCs w:val="20"/>
          <w:lang w:val="en-US"/>
        </w:rPr>
        <w:t>s</w:t>
      </w:r>
      <w:r w:rsidR="006118D6" w:rsidRPr="00B01A9C">
        <w:rPr>
          <w:sz w:val="20"/>
          <w:szCs w:val="20"/>
          <w:lang w:val="en-US"/>
        </w:rPr>
        <w:t>, including their design elements and market rules.</w:t>
      </w:r>
      <w:r w:rsidR="009C3CE4" w:rsidRPr="00B01A9C">
        <w:rPr>
          <w:sz w:val="20"/>
          <w:szCs w:val="20"/>
          <w:lang w:val="en-US"/>
        </w:rPr>
        <w:t xml:space="preserve"> From the analysis of international experiences, </w:t>
      </w:r>
      <w:r w:rsidR="00EC29F0" w:rsidRPr="00B01A9C">
        <w:rPr>
          <w:sz w:val="20"/>
          <w:szCs w:val="20"/>
          <w:lang w:val="en-US"/>
        </w:rPr>
        <w:t xml:space="preserve">we propose </w:t>
      </w:r>
      <w:r w:rsidR="009C3CE4" w:rsidRPr="00B01A9C">
        <w:rPr>
          <w:sz w:val="20"/>
          <w:szCs w:val="20"/>
          <w:lang w:val="en-US"/>
        </w:rPr>
        <w:t xml:space="preserve">a set of recommendations aimed to mitigate future regulatory uncertainties </w:t>
      </w:r>
      <w:r w:rsidR="00EC29F0" w:rsidRPr="00B01A9C">
        <w:rPr>
          <w:sz w:val="20"/>
          <w:szCs w:val="20"/>
          <w:lang w:val="en-US"/>
        </w:rPr>
        <w:t>in Poland.</w:t>
      </w:r>
    </w:p>
    <w:p w:rsidR="0054629A" w:rsidRPr="00B01A9C" w:rsidRDefault="003973BA">
      <w:pPr>
        <w:pStyle w:val="Heading4"/>
        <w:rPr>
          <w:lang w:val="en-US"/>
        </w:rPr>
      </w:pPr>
      <w:r w:rsidRPr="00B01A9C">
        <w:rPr>
          <w:b/>
          <w:lang w:val="en-US"/>
        </w:rPr>
        <w:t>Results</w:t>
      </w:r>
    </w:p>
    <w:p w:rsidR="005F7BD4" w:rsidRPr="00B01A9C" w:rsidRDefault="00EC0195" w:rsidP="00B01A9C">
      <w:pPr>
        <w:jc w:val="both"/>
        <w:rPr>
          <w:sz w:val="20"/>
          <w:szCs w:val="20"/>
          <w:lang w:val="en-US"/>
        </w:rPr>
      </w:pPr>
      <w:r w:rsidRPr="00B01A9C">
        <w:rPr>
          <w:bCs/>
          <w:sz w:val="20"/>
          <w:szCs w:val="20"/>
          <w:lang w:val="en-US"/>
        </w:rPr>
        <w:t>T</w:t>
      </w:r>
      <w:r w:rsidR="004D0192" w:rsidRPr="00B01A9C">
        <w:rPr>
          <w:bCs/>
          <w:sz w:val="20"/>
          <w:szCs w:val="20"/>
          <w:lang w:val="en-US"/>
        </w:rPr>
        <w:t xml:space="preserve">he </w:t>
      </w:r>
      <w:r w:rsidRPr="00B01A9C">
        <w:rPr>
          <w:bCs/>
          <w:sz w:val="20"/>
          <w:szCs w:val="20"/>
          <w:lang w:val="en-US"/>
        </w:rPr>
        <w:t xml:space="preserve">results of the first auction of the Polish </w:t>
      </w:r>
      <w:r w:rsidR="004D0192" w:rsidRPr="00B01A9C">
        <w:rPr>
          <w:bCs/>
          <w:sz w:val="20"/>
          <w:szCs w:val="20"/>
          <w:lang w:val="en-US"/>
        </w:rPr>
        <w:t>capacity market</w:t>
      </w:r>
      <w:r w:rsidR="00E014DC">
        <w:rPr>
          <w:bCs/>
          <w:sz w:val="20"/>
          <w:szCs w:val="20"/>
          <w:lang w:val="en-US"/>
        </w:rPr>
        <w:t xml:space="preserve"> (</w:t>
      </w:r>
      <w:r w:rsidR="00A56B6F">
        <w:rPr>
          <w:bCs/>
          <w:sz w:val="20"/>
          <w:szCs w:val="20"/>
          <w:lang w:val="en-US"/>
        </w:rPr>
        <w:t xml:space="preserve">early design and first auction in </w:t>
      </w:r>
      <w:r w:rsidR="00E014DC">
        <w:rPr>
          <w:bCs/>
          <w:sz w:val="20"/>
          <w:szCs w:val="20"/>
          <w:lang w:val="en-US"/>
        </w:rPr>
        <w:t>2018)</w:t>
      </w:r>
      <w:r w:rsidR="004D0192" w:rsidRPr="00B01A9C">
        <w:rPr>
          <w:bCs/>
          <w:sz w:val="20"/>
          <w:szCs w:val="20"/>
          <w:lang w:val="en-US"/>
        </w:rPr>
        <w:t xml:space="preserve"> and</w:t>
      </w:r>
      <w:r w:rsidRPr="00B01A9C">
        <w:rPr>
          <w:bCs/>
          <w:sz w:val="20"/>
          <w:szCs w:val="20"/>
          <w:lang w:val="en-US"/>
        </w:rPr>
        <w:t xml:space="preserve"> the ongoing changes in the electricity market </w:t>
      </w:r>
      <w:r w:rsidR="00E014DC">
        <w:rPr>
          <w:bCs/>
          <w:sz w:val="20"/>
          <w:szCs w:val="20"/>
          <w:lang w:val="en-US"/>
        </w:rPr>
        <w:t xml:space="preserve">suggests </w:t>
      </w:r>
      <w:r w:rsidR="005F7BD4" w:rsidRPr="00B01A9C">
        <w:rPr>
          <w:bCs/>
          <w:sz w:val="20"/>
          <w:szCs w:val="20"/>
          <w:lang w:val="en-US"/>
        </w:rPr>
        <w:t xml:space="preserve">that </w:t>
      </w:r>
      <w:r w:rsidR="004D0192" w:rsidRPr="00B01A9C">
        <w:rPr>
          <w:bCs/>
          <w:sz w:val="20"/>
          <w:szCs w:val="20"/>
          <w:lang w:val="en-US"/>
        </w:rPr>
        <w:t xml:space="preserve">the country </w:t>
      </w:r>
      <w:r w:rsidR="005F7BD4" w:rsidRPr="00B01A9C">
        <w:rPr>
          <w:bCs/>
          <w:sz w:val="20"/>
          <w:szCs w:val="20"/>
          <w:lang w:val="en-US"/>
        </w:rPr>
        <w:t xml:space="preserve">will require an additional </w:t>
      </w:r>
      <w:r w:rsidRPr="00B01A9C">
        <w:rPr>
          <w:bCs/>
          <w:sz w:val="20"/>
          <w:szCs w:val="20"/>
          <w:lang w:val="en-US"/>
        </w:rPr>
        <w:t xml:space="preserve">long-term </w:t>
      </w:r>
      <w:r w:rsidR="005F7BD4" w:rsidRPr="00B01A9C">
        <w:rPr>
          <w:bCs/>
          <w:sz w:val="20"/>
          <w:szCs w:val="20"/>
          <w:lang w:val="en-US"/>
        </w:rPr>
        <w:t xml:space="preserve">administrative </w:t>
      </w:r>
      <w:r w:rsidR="004D0192" w:rsidRPr="00B01A9C">
        <w:rPr>
          <w:bCs/>
          <w:sz w:val="20"/>
          <w:szCs w:val="20"/>
          <w:lang w:val="en-US"/>
        </w:rPr>
        <w:t xml:space="preserve">solution for </w:t>
      </w:r>
      <w:r w:rsidRPr="00B01A9C">
        <w:rPr>
          <w:bCs/>
          <w:sz w:val="20"/>
          <w:szCs w:val="20"/>
          <w:lang w:val="en-US"/>
        </w:rPr>
        <w:t>the</w:t>
      </w:r>
      <w:r w:rsidR="004D0192" w:rsidRPr="00B01A9C">
        <w:rPr>
          <w:bCs/>
          <w:sz w:val="20"/>
          <w:szCs w:val="20"/>
          <w:lang w:val="en-US"/>
        </w:rPr>
        <w:t xml:space="preserve"> resource adequacy</w:t>
      </w:r>
      <w:r w:rsidR="005F7BD4" w:rsidRPr="00B01A9C">
        <w:rPr>
          <w:bCs/>
          <w:sz w:val="20"/>
          <w:szCs w:val="20"/>
          <w:lang w:val="en-US"/>
        </w:rPr>
        <w:t>.</w:t>
      </w:r>
      <w:r w:rsidR="006C6FD0" w:rsidRPr="00B01A9C">
        <w:rPr>
          <w:bCs/>
          <w:sz w:val="20"/>
          <w:szCs w:val="20"/>
          <w:lang w:val="en-US"/>
        </w:rPr>
        <w:t xml:space="preserve"> The </w:t>
      </w:r>
      <w:r w:rsidR="004126CF" w:rsidRPr="00B01A9C">
        <w:rPr>
          <w:bCs/>
          <w:sz w:val="20"/>
          <w:szCs w:val="20"/>
          <w:lang w:val="en-US"/>
        </w:rPr>
        <w:t xml:space="preserve">preliminary results from the </w:t>
      </w:r>
      <w:r w:rsidR="006C6FD0" w:rsidRPr="00B01A9C">
        <w:rPr>
          <w:bCs/>
          <w:sz w:val="20"/>
          <w:szCs w:val="20"/>
          <w:lang w:val="en-US"/>
        </w:rPr>
        <w:t>literature review</w:t>
      </w:r>
      <w:r w:rsidR="004126CF" w:rsidRPr="00B01A9C">
        <w:rPr>
          <w:bCs/>
          <w:sz w:val="20"/>
          <w:szCs w:val="20"/>
          <w:lang w:val="en-US"/>
        </w:rPr>
        <w:t xml:space="preserve"> of international experiences </w:t>
      </w:r>
      <w:r w:rsidR="006C6FD0" w:rsidRPr="00B01A9C">
        <w:rPr>
          <w:bCs/>
          <w:sz w:val="20"/>
          <w:szCs w:val="20"/>
          <w:lang w:val="en-US"/>
        </w:rPr>
        <w:t xml:space="preserve">indicate </w:t>
      </w:r>
      <w:r w:rsidR="004126CF" w:rsidRPr="00B01A9C">
        <w:rPr>
          <w:bCs/>
          <w:sz w:val="20"/>
          <w:szCs w:val="20"/>
          <w:lang w:val="en-US"/>
        </w:rPr>
        <w:t xml:space="preserve">that scarcity pricing combined with a capacity market </w:t>
      </w:r>
      <w:r w:rsidR="0029733E" w:rsidRPr="00B01A9C">
        <w:rPr>
          <w:bCs/>
          <w:sz w:val="20"/>
          <w:szCs w:val="20"/>
          <w:lang w:val="en-US"/>
        </w:rPr>
        <w:t xml:space="preserve">could </w:t>
      </w:r>
      <w:r w:rsidR="004126CF" w:rsidRPr="00B01A9C">
        <w:rPr>
          <w:bCs/>
          <w:sz w:val="20"/>
          <w:szCs w:val="20"/>
          <w:lang w:val="en-US"/>
        </w:rPr>
        <w:t>provide</w:t>
      </w:r>
      <w:r w:rsidR="0029733E" w:rsidRPr="00B01A9C">
        <w:rPr>
          <w:bCs/>
          <w:sz w:val="20"/>
          <w:szCs w:val="20"/>
          <w:lang w:val="en-US"/>
        </w:rPr>
        <w:t xml:space="preserve"> p</w:t>
      </w:r>
      <w:r w:rsidR="004126CF" w:rsidRPr="00B01A9C">
        <w:rPr>
          <w:bCs/>
          <w:sz w:val="20"/>
          <w:szCs w:val="20"/>
          <w:lang w:val="en-US"/>
        </w:rPr>
        <w:t>rice signal</w:t>
      </w:r>
      <w:r w:rsidR="008E2648" w:rsidRPr="00B01A9C">
        <w:rPr>
          <w:bCs/>
          <w:sz w:val="20"/>
          <w:szCs w:val="20"/>
          <w:lang w:val="en-US"/>
        </w:rPr>
        <w:t xml:space="preserve">s for </w:t>
      </w:r>
      <w:r w:rsidR="009A0884">
        <w:rPr>
          <w:bCs/>
          <w:sz w:val="20"/>
          <w:szCs w:val="20"/>
          <w:lang w:val="en-US"/>
        </w:rPr>
        <w:t xml:space="preserve">future </w:t>
      </w:r>
      <w:r w:rsidR="008E2648" w:rsidRPr="00B01A9C">
        <w:rPr>
          <w:bCs/>
          <w:sz w:val="20"/>
          <w:szCs w:val="20"/>
          <w:lang w:val="en-US"/>
        </w:rPr>
        <w:t>capacity</w:t>
      </w:r>
      <w:r w:rsidR="009A0884">
        <w:rPr>
          <w:bCs/>
          <w:sz w:val="20"/>
          <w:szCs w:val="20"/>
          <w:lang w:val="en-US"/>
        </w:rPr>
        <w:t xml:space="preserve"> investments</w:t>
      </w:r>
      <w:r w:rsidR="008E2648" w:rsidRPr="00B01A9C">
        <w:rPr>
          <w:bCs/>
          <w:sz w:val="20"/>
          <w:szCs w:val="20"/>
          <w:lang w:val="en-US"/>
        </w:rPr>
        <w:t xml:space="preserve"> and</w:t>
      </w:r>
      <w:r w:rsidR="009A0998">
        <w:rPr>
          <w:bCs/>
          <w:sz w:val="20"/>
          <w:szCs w:val="20"/>
          <w:lang w:val="en-US"/>
        </w:rPr>
        <w:t>,</w:t>
      </w:r>
      <w:r w:rsidR="008E2648" w:rsidRPr="00B01A9C">
        <w:rPr>
          <w:bCs/>
          <w:sz w:val="20"/>
          <w:szCs w:val="20"/>
          <w:lang w:val="en-US"/>
        </w:rPr>
        <w:t xml:space="preserve"> if the market prices are high enough</w:t>
      </w:r>
      <w:r w:rsidR="009A0998">
        <w:rPr>
          <w:bCs/>
          <w:sz w:val="20"/>
          <w:szCs w:val="20"/>
          <w:lang w:val="en-US"/>
        </w:rPr>
        <w:t>,</w:t>
      </w:r>
      <w:r w:rsidR="008E2648" w:rsidRPr="00B01A9C">
        <w:rPr>
          <w:bCs/>
          <w:sz w:val="20"/>
          <w:szCs w:val="20"/>
          <w:lang w:val="en-US"/>
        </w:rPr>
        <w:t xml:space="preserve"> possibly induce policy changes to a price-based demand response. </w:t>
      </w:r>
      <w:r w:rsidR="00E014DC">
        <w:rPr>
          <w:bCs/>
          <w:sz w:val="20"/>
          <w:szCs w:val="20"/>
          <w:lang w:val="en-US"/>
        </w:rPr>
        <w:t>However,</w:t>
      </w:r>
      <w:r w:rsidR="009A0998">
        <w:rPr>
          <w:bCs/>
          <w:sz w:val="20"/>
          <w:szCs w:val="20"/>
          <w:lang w:val="en-US"/>
        </w:rPr>
        <w:t xml:space="preserve"> the introduction of </w:t>
      </w:r>
      <w:r w:rsidR="00A56B6F">
        <w:rPr>
          <w:bCs/>
          <w:sz w:val="20"/>
          <w:szCs w:val="20"/>
          <w:lang w:val="en-US"/>
        </w:rPr>
        <w:t xml:space="preserve">a </w:t>
      </w:r>
      <w:r w:rsidR="009A0998">
        <w:rPr>
          <w:bCs/>
          <w:sz w:val="20"/>
          <w:szCs w:val="20"/>
          <w:lang w:val="en-US"/>
        </w:rPr>
        <w:t xml:space="preserve">scarcity pricing </w:t>
      </w:r>
      <w:r w:rsidR="00110DD2">
        <w:rPr>
          <w:bCs/>
          <w:sz w:val="20"/>
          <w:szCs w:val="20"/>
          <w:lang w:val="en-US"/>
        </w:rPr>
        <w:t xml:space="preserve">in Poland </w:t>
      </w:r>
      <w:r w:rsidR="009A0998">
        <w:rPr>
          <w:bCs/>
          <w:sz w:val="20"/>
          <w:szCs w:val="20"/>
          <w:lang w:val="en-US"/>
        </w:rPr>
        <w:t xml:space="preserve">arises </w:t>
      </w:r>
      <w:r w:rsidR="00D76177">
        <w:rPr>
          <w:bCs/>
          <w:sz w:val="20"/>
          <w:szCs w:val="20"/>
          <w:lang w:val="en-US"/>
        </w:rPr>
        <w:t>several</w:t>
      </w:r>
      <w:r w:rsidR="009A0998">
        <w:rPr>
          <w:bCs/>
          <w:sz w:val="20"/>
          <w:szCs w:val="20"/>
          <w:lang w:val="en-US"/>
        </w:rPr>
        <w:t xml:space="preserve"> new </w:t>
      </w:r>
      <w:r w:rsidR="00E014DC">
        <w:rPr>
          <w:bCs/>
          <w:sz w:val="20"/>
          <w:szCs w:val="20"/>
          <w:lang w:val="en-US"/>
        </w:rPr>
        <w:lastRenderedPageBreak/>
        <w:t>challenges</w:t>
      </w:r>
      <w:r w:rsidR="009A0998">
        <w:rPr>
          <w:bCs/>
          <w:sz w:val="20"/>
          <w:szCs w:val="20"/>
          <w:lang w:val="en-US"/>
        </w:rPr>
        <w:t xml:space="preserve"> such as </w:t>
      </w:r>
      <w:r w:rsidR="00940584">
        <w:rPr>
          <w:bCs/>
          <w:sz w:val="20"/>
          <w:szCs w:val="20"/>
          <w:lang w:val="en-US"/>
        </w:rPr>
        <w:t xml:space="preserve">appropriate </w:t>
      </w:r>
      <w:r w:rsidR="005778A0">
        <w:rPr>
          <w:bCs/>
          <w:sz w:val="20"/>
          <w:szCs w:val="20"/>
          <w:lang w:val="en-US"/>
        </w:rPr>
        <w:t>estimat</w:t>
      </w:r>
      <w:r w:rsidR="00940584">
        <w:rPr>
          <w:bCs/>
          <w:sz w:val="20"/>
          <w:szCs w:val="20"/>
          <w:lang w:val="en-US"/>
        </w:rPr>
        <w:t>e</w:t>
      </w:r>
      <w:r w:rsidR="005778A0">
        <w:rPr>
          <w:bCs/>
          <w:sz w:val="20"/>
          <w:szCs w:val="20"/>
          <w:lang w:val="en-US"/>
        </w:rPr>
        <w:t xml:space="preserve"> of VOLL, </w:t>
      </w:r>
      <w:r w:rsidR="009A0998">
        <w:rPr>
          <w:bCs/>
          <w:sz w:val="20"/>
          <w:szCs w:val="20"/>
          <w:lang w:val="en-US"/>
        </w:rPr>
        <w:t>double-payment,</w:t>
      </w:r>
      <w:r w:rsidR="005778A0">
        <w:rPr>
          <w:bCs/>
          <w:sz w:val="20"/>
          <w:szCs w:val="20"/>
          <w:lang w:val="en-US"/>
        </w:rPr>
        <w:t xml:space="preserve"> etc. </w:t>
      </w:r>
      <w:r w:rsidR="0079784A">
        <w:rPr>
          <w:bCs/>
          <w:sz w:val="20"/>
          <w:szCs w:val="20"/>
          <w:lang w:val="en-US"/>
        </w:rPr>
        <w:t xml:space="preserve">To the best of our knowledge, this paper is the first attempt to </w:t>
      </w:r>
      <w:r w:rsidR="004A4A69">
        <w:rPr>
          <w:bCs/>
          <w:sz w:val="20"/>
          <w:szCs w:val="20"/>
          <w:lang w:val="en-US"/>
        </w:rPr>
        <w:t xml:space="preserve">provide a perspective on the </w:t>
      </w:r>
      <w:r w:rsidR="0079784A">
        <w:rPr>
          <w:bCs/>
          <w:sz w:val="20"/>
          <w:szCs w:val="20"/>
          <w:lang w:val="en-US"/>
        </w:rPr>
        <w:t>issue of scarcity pricing in the Polish capacity market.</w:t>
      </w:r>
    </w:p>
    <w:p w:rsidR="000B163B" w:rsidRPr="00B01A9C" w:rsidRDefault="003973BA" w:rsidP="000B163B">
      <w:pPr>
        <w:pStyle w:val="Heading4"/>
        <w:rPr>
          <w:b/>
          <w:lang w:val="en-US"/>
        </w:rPr>
      </w:pPr>
      <w:r w:rsidRPr="00B01A9C">
        <w:rPr>
          <w:b/>
          <w:lang w:val="en-US"/>
        </w:rPr>
        <w:t>Conclusions</w:t>
      </w:r>
    </w:p>
    <w:p w:rsidR="00F55760" w:rsidRPr="00B01A9C" w:rsidRDefault="00F55760" w:rsidP="0009575C">
      <w:pPr>
        <w:jc w:val="both"/>
        <w:rPr>
          <w:sz w:val="20"/>
          <w:szCs w:val="20"/>
          <w:lang w:val="en-US"/>
        </w:rPr>
      </w:pPr>
      <w:r w:rsidRPr="00B01A9C">
        <w:rPr>
          <w:sz w:val="20"/>
          <w:szCs w:val="20"/>
          <w:lang w:val="en-US"/>
        </w:rPr>
        <w:t xml:space="preserve">Poland is one of the EU member states facing the risk of capacity shortages in the medium- and long-term perspective. </w:t>
      </w:r>
      <w:r w:rsidR="00241F9D" w:rsidRPr="00B01A9C">
        <w:rPr>
          <w:sz w:val="20"/>
          <w:szCs w:val="20"/>
          <w:lang w:val="en-US"/>
        </w:rPr>
        <w:t>Moreover, w</w:t>
      </w:r>
      <w:r w:rsidR="00BC0AEE" w:rsidRPr="00B01A9C">
        <w:rPr>
          <w:sz w:val="20"/>
          <w:szCs w:val="20"/>
          <w:lang w:val="en-US"/>
        </w:rPr>
        <w:t xml:space="preserve">ith the possible incorporation of a scarcity pricing in its capacity market, the Polish </w:t>
      </w:r>
      <w:r w:rsidR="00663170">
        <w:rPr>
          <w:sz w:val="20"/>
          <w:szCs w:val="20"/>
          <w:lang w:val="en-US"/>
        </w:rPr>
        <w:t xml:space="preserve">government </w:t>
      </w:r>
      <w:r w:rsidR="00241F9D" w:rsidRPr="00B01A9C">
        <w:rPr>
          <w:sz w:val="20"/>
          <w:szCs w:val="20"/>
          <w:lang w:val="en-US"/>
        </w:rPr>
        <w:t>f</w:t>
      </w:r>
      <w:r w:rsidR="00BC0AEE" w:rsidRPr="00B01A9C">
        <w:rPr>
          <w:sz w:val="20"/>
          <w:szCs w:val="20"/>
          <w:lang w:val="en-US"/>
        </w:rPr>
        <w:t xml:space="preserve">ace </w:t>
      </w:r>
      <w:r w:rsidR="00D75381" w:rsidRPr="00B01A9C">
        <w:rPr>
          <w:sz w:val="20"/>
          <w:szCs w:val="20"/>
          <w:lang w:val="en-US"/>
        </w:rPr>
        <w:t>several</w:t>
      </w:r>
      <w:r w:rsidR="00BC0AEE" w:rsidRPr="00B01A9C">
        <w:rPr>
          <w:sz w:val="20"/>
          <w:szCs w:val="20"/>
          <w:lang w:val="en-US"/>
        </w:rPr>
        <w:t xml:space="preserve"> challenges</w:t>
      </w:r>
      <w:r w:rsidR="00D75381" w:rsidRPr="00B01A9C">
        <w:rPr>
          <w:sz w:val="20"/>
          <w:szCs w:val="20"/>
          <w:lang w:val="en-US"/>
        </w:rPr>
        <w:t xml:space="preserve"> including the possible </w:t>
      </w:r>
      <w:r w:rsidR="00BC0AEE" w:rsidRPr="00B01A9C">
        <w:rPr>
          <w:sz w:val="20"/>
          <w:szCs w:val="20"/>
          <w:lang w:val="en-US"/>
        </w:rPr>
        <w:t xml:space="preserve">increase </w:t>
      </w:r>
      <w:r w:rsidR="00D75381" w:rsidRPr="00B01A9C">
        <w:rPr>
          <w:sz w:val="20"/>
          <w:szCs w:val="20"/>
          <w:lang w:val="en-US"/>
        </w:rPr>
        <w:t xml:space="preserve">of </w:t>
      </w:r>
      <w:r w:rsidR="00BC0AEE" w:rsidRPr="00B01A9C">
        <w:rPr>
          <w:sz w:val="20"/>
          <w:szCs w:val="20"/>
          <w:lang w:val="en-US"/>
        </w:rPr>
        <w:t>regulatory imperfections and</w:t>
      </w:r>
      <w:r w:rsidR="00D75381" w:rsidRPr="00B01A9C">
        <w:rPr>
          <w:sz w:val="20"/>
          <w:szCs w:val="20"/>
          <w:lang w:val="en-US"/>
        </w:rPr>
        <w:t xml:space="preserve"> insufficient incentives for capacity adequacy. </w:t>
      </w:r>
      <w:r w:rsidR="00A36071">
        <w:rPr>
          <w:sz w:val="20"/>
          <w:szCs w:val="20"/>
          <w:lang w:val="en-US"/>
        </w:rPr>
        <w:t xml:space="preserve">Hence, </w:t>
      </w:r>
      <w:r w:rsidR="008B5BAC">
        <w:rPr>
          <w:sz w:val="20"/>
          <w:szCs w:val="20"/>
          <w:lang w:val="en-US"/>
        </w:rPr>
        <w:t xml:space="preserve">it </w:t>
      </w:r>
      <w:r w:rsidR="005155AD">
        <w:rPr>
          <w:sz w:val="20"/>
          <w:szCs w:val="20"/>
          <w:lang w:val="en-US"/>
        </w:rPr>
        <w:t xml:space="preserve">is of crucial importance </w:t>
      </w:r>
      <w:r w:rsidR="00865B67">
        <w:rPr>
          <w:sz w:val="20"/>
          <w:szCs w:val="20"/>
          <w:lang w:val="en-US"/>
        </w:rPr>
        <w:t>for policymakers and researchers</w:t>
      </w:r>
      <w:r w:rsidR="005155AD">
        <w:rPr>
          <w:sz w:val="20"/>
          <w:szCs w:val="20"/>
          <w:lang w:val="en-US"/>
        </w:rPr>
        <w:t xml:space="preserve"> </w:t>
      </w:r>
      <w:r w:rsidR="008A0144">
        <w:rPr>
          <w:sz w:val="20"/>
          <w:szCs w:val="20"/>
          <w:lang w:val="en-US"/>
        </w:rPr>
        <w:t>to</w:t>
      </w:r>
      <w:r w:rsidR="00C95302">
        <w:rPr>
          <w:sz w:val="20"/>
          <w:szCs w:val="20"/>
          <w:lang w:val="en-US"/>
        </w:rPr>
        <w:t xml:space="preserve"> apply </w:t>
      </w:r>
      <w:r w:rsidR="008A0144">
        <w:rPr>
          <w:sz w:val="20"/>
          <w:szCs w:val="20"/>
          <w:lang w:val="en-US"/>
        </w:rPr>
        <w:t>the practical guides developed by countries where similar market schemes have been implemented.</w:t>
      </w:r>
    </w:p>
    <w:p w:rsidR="005F7BD4" w:rsidRPr="00B01A9C" w:rsidRDefault="003973BA" w:rsidP="005F7BD4">
      <w:pPr>
        <w:pStyle w:val="Heading4"/>
        <w:rPr>
          <w:sz w:val="20"/>
          <w:szCs w:val="20"/>
          <w:lang w:val="en-US"/>
        </w:rPr>
      </w:pPr>
      <w:r w:rsidRPr="00B01A9C">
        <w:rPr>
          <w:b/>
          <w:lang w:val="en-US"/>
        </w:rPr>
        <w:t>References</w:t>
      </w:r>
    </w:p>
    <w:p w:rsidR="00B80D08" w:rsidRPr="00733B40" w:rsidRDefault="00EA599E" w:rsidP="00B80D08">
      <w:pPr>
        <w:widowControl w:val="0"/>
        <w:autoSpaceDE w:val="0"/>
        <w:autoSpaceDN w:val="0"/>
        <w:adjustRightInd w:val="0"/>
        <w:ind w:left="640" w:hanging="640"/>
        <w:rPr>
          <w:noProof/>
          <w:sz w:val="20"/>
          <w:szCs w:val="20"/>
        </w:rPr>
      </w:pPr>
      <w:r w:rsidRPr="00733B40">
        <w:rPr>
          <w:b/>
          <w:bCs/>
          <w:color w:val="000000"/>
          <w:sz w:val="20"/>
          <w:szCs w:val="20"/>
        </w:rPr>
        <w:fldChar w:fldCharType="begin" w:fldLock="1"/>
      </w:r>
      <w:r w:rsidRPr="00733B40">
        <w:rPr>
          <w:b/>
          <w:bCs/>
          <w:color w:val="000000"/>
          <w:sz w:val="20"/>
          <w:szCs w:val="20"/>
        </w:rPr>
        <w:instrText xml:space="preserve">ADDIN Mendeley Bibliography CSL_BIBLIOGRAPHY </w:instrText>
      </w:r>
      <w:r w:rsidRPr="00733B40">
        <w:rPr>
          <w:b/>
          <w:bCs/>
          <w:color w:val="000000"/>
          <w:sz w:val="20"/>
          <w:szCs w:val="20"/>
        </w:rPr>
        <w:fldChar w:fldCharType="separate"/>
      </w:r>
      <w:r w:rsidR="00B80D08" w:rsidRPr="00733B40">
        <w:rPr>
          <w:noProof/>
          <w:sz w:val="20"/>
          <w:szCs w:val="20"/>
        </w:rPr>
        <w:t>[1]</w:t>
      </w:r>
      <w:r w:rsidR="00B80D08" w:rsidRPr="00733B40">
        <w:rPr>
          <w:noProof/>
          <w:sz w:val="20"/>
          <w:szCs w:val="20"/>
        </w:rPr>
        <w:tab/>
        <w:t>Ministerstwo Energii, “Rozwiązania funkcjonalne rynku mocy,” Warszawa, 2016.</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[2]</w:t>
      </w:r>
      <w:r w:rsidRPr="00733B40">
        <w:rPr>
          <w:noProof/>
          <w:sz w:val="20"/>
          <w:szCs w:val="20"/>
        </w:rPr>
        <w:tab/>
        <w:t xml:space="preserve">P. Benalcazar and J. Kamiński, “Capacity markets and cogeneration facilities: recommendations for Poland,” </w:t>
      </w:r>
      <w:r w:rsidRPr="00733B40">
        <w:rPr>
          <w:i/>
          <w:iCs/>
          <w:noProof/>
          <w:sz w:val="20"/>
          <w:szCs w:val="20"/>
        </w:rPr>
        <w:t>Polityka Energ. - Energy policy J.</w:t>
      </w:r>
      <w:r w:rsidRPr="00733B40">
        <w:rPr>
          <w:noProof/>
          <w:sz w:val="20"/>
          <w:szCs w:val="20"/>
        </w:rPr>
        <w:t>, vol. 19, no. 3, pp. 61–76, 2016.</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[3]</w:t>
      </w:r>
      <w:r w:rsidRPr="00733B40">
        <w:rPr>
          <w:noProof/>
          <w:sz w:val="20"/>
          <w:szCs w:val="20"/>
        </w:rPr>
        <w:tab/>
        <w:t xml:space="preserve">P. Benalcazar and P. Nalepka, “The Polish capacity market proposal vs the British model,” </w:t>
      </w:r>
      <w:r w:rsidRPr="00733B40">
        <w:rPr>
          <w:i/>
          <w:iCs/>
          <w:noProof/>
          <w:sz w:val="20"/>
          <w:szCs w:val="20"/>
        </w:rPr>
        <w:t>Polityka Energ. - Energy policy J.</w:t>
      </w:r>
      <w:r w:rsidRPr="00733B40">
        <w:rPr>
          <w:noProof/>
          <w:sz w:val="20"/>
          <w:szCs w:val="20"/>
        </w:rPr>
        <w:t>, vol. 20, no. 2, pp. 59–72, 2017.</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[4]</w:t>
      </w:r>
      <w:r w:rsidRPr="00733B40">
        <w:rPr>
          <w:noProof/>
          <w:sz w:val="20"/>
          <w:szCs w:val="20"/>
        </w:rPr>
        <w:tab/>
        <w:t>European Commission, “Final Report of the Sector Inquiry on Capacity Mechanisms,” Brussels, 2016.</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[5]</w:t>
      </w:r>
      <w:r w:rsidRPr="00733B40">
        <w:rPr>
          <w:noProof/>
          <w:sz w:val="20"/>
          <w:szCs w:val="20"/>
        </w:rPr>
        <w:tab/>
        <w:t>European Commission, “State aid : Commission approves six electricity capacity mechanisms to ensure security of supply in Belgium, France, Germany, Greece , Italy and Poland,” Brussels, 2018.</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[6]</w:t>
      </w:r>
      <w:r w:rsidRPr="00733B40">
        <w:rPr>
          <w:noProof/>
          <w:sz w:val="20"/>
          <w:szCs w:val="20"/>
        </w:rPr>
        <w:tab/>
        <w:t>European Commission, “State aid No. SA.46100 (2017/N) – Poland – Planned Polish capacity mechanism,” Brussels, 2018.</w:t>
      </w:r>
    </w:p>
    <w:p w:rsidR="00B80D08" w:rsidRPr="00733B40" w:rsidRDefault="00B80D08" w:rsidP="00B80D08">
      <w:pPr>
        <w:widowControl w:val="0"/>
        <w:autoSpaceDE w:val="0"/>
        <w:autoSpaceDN w:val="0"/>
        <w:adjustRightInd w:val="0"/>
        <w:ind w:left="640" w:hanging="640"/>
        <w:rPr>
          <w:noProof/>
          <w:sz w:val="20"/>
          <w:szCs w:val="20"/>
        </w:rPr>
      </w:pPr>
      <w:r w:rsidRPr="00733B40">
        <w:rPr>
          <w:noProof/>
          <w:sz w:val="20"/>
          <w:szCs w:val="20"/>
        </w:rPr>
        <w:t>[7]</w:t>
      </w:r>
      <w:r w:rsidRPr="00733B40">
        <w:rPr>
          <w:noProof/>
          <w:sz w:val="20"/>
          <w:szCs w:val="20"/>
        </w:rPr>
        <w:tab/>
        <w:t>J. P. Pfeifenberger, K. Spees, and A. Schumacher, “A Comparison of PJM’s RPM with Alternative Energy and Capacity Market Designs,” no. September, pp. 1–90, 2009.</w:t>
      </w:r>
    </w:p>
    <w:p w:rsidR="00F908D1" w:rsidRPr="00663170" w:rsidRDefault="00EA599E" w:rsidP="00663170">
      <w:pPr>
        <w:pStyle w:val="NormalWeb"/>
        <w:spacing w:before="0" w:beforeAutospacing="0" w:after="0" w:afterAutospacing="0"/>
        <w:jc w:val="both"/>
        <w:rPr>
          <w:rFonts w:ascii="Arial" w:hAnsi="Arial" w:cs="Arial"/>
          <w:b/>
          <w:bCs/>
          <w:color w:val="000000"/>
          <w:sz w:val="22"/>
          <w:szCs w:val="22"/>
        </w:rPr>
      </w:pPr>
      <w:r w:rsidRPr="00733B40">
        <w:rPr>
          <w:b/>
          <w:bCs/>
          <w:color w:val="000000"/>
          <w:sz w:val="20"/>
          <w:szCs w:val="20"/>
        </w:rPr>
        <w:fldChar w:fldCharType="end"/>
      </w:r>
    </w:p>
    <w:sectPr w:rsidR="00F908D1" w:rsidRPr="0066317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177DC1"/>
    <w:multiLevelType w:val="hybridMultilevel"/>
    <w:tmpl w:val="5518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43299"/>
    <w:multiLevelType w:val="hybridMultilevel"/>
    <w:tmpl w:val="24B47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641"/>
    <w:rsid w:val="00011436"/>
    <w:rsid w:val="00012F01"/>
    <w:rsid w:val="00017833"/>
    <w:rsid w:val="00026C39"/>
    <w:rsid w:val="00027E79"/>
    <w:rsid w:val="0003627F"/>
    <w:rsid w:val="00050D4F"/>
    <w:rsid w:val="00054262"/>
    <w:rsid w:val="00054649"/>
    <w:rsid w:val="00054FFA"/>
    <w:rsid w:val="000568A0"/>
    <w:rsid w:val="00063AE5"/>
    <w:rsid w:val="00080C17"/>
    <w:rsid w:val="00081E42"/>
    <w:rsid w:val="00084095"/>
    <w:rsid w:val="0009157D"/>
    <w:rsid w:val="000916B9"/>
    <w:rsid w:val="000920A6"/>
    <w:rsid w:val="0009575C"/>
    <w:rsid w:val="00096A26"/>
    <w:rsid w:val="000A0B63"/>
    <w:rsid w:val="000B163B"/>
    <w:rsid w:val="000C10AD"/>
    <w:rsid w:val="000C1B64"/>
    <w:rsid w:val="000C250E"/>
    <w:rsid w:val="000C2D5A"/>
    <w:rsid w:val="000D413E"/>
    <w:rsid w:val="000D7C00"/>
    <w:rsid w:val="000E1B70"/>
    <w:rsid w:val="000E38DE"/>
    <w:rsid w:val="000E6E53"/>
    <w:rsid w:val="000F2DE4"/>
    <w:rsid w:val="000F4F5A"/>
    <w:rsid w:val="00110DD2"/>
    <w:rsid w:val="00113DA2"/>
    <w:rsid w:val="00125B1F"/>
    <w:rsid w:val="00140B04"/>
    <w:rsid w:val="00142A09"/>
    <w:rsid w:val="00143A64"/>
    <w:rsid w:val="00155BA3"/>
    <w:rsid w:val="00157A41"/>
    <w:rsid w:val="00164254"/>
    <w:rsid w:val="00190B4E"/>
    <w:rsid w:val="0019589E"/>
    <w:rsid w:val="00195940"/>
    <w:rsid w:val="00195EEB"/>
    <w:rsid w:val="001A20EF"/>
    <w:rsid w:val="001A2DC0"/>
    <w:rsid w:val="001B1A5A"/>
    <w:rsid w:val="001B2CC7"/>
    <w:rsid w:val="001B32D0"/>
    <w:rsid w:val="001B56EE"/>
    <w:rsid w:val="001B7674"/>
    <w:rsid w:val="001C4C5D"/>
    <w:rsid w:val="001C5D91"/>
    <w:rsid w:val="001C6472"/>
    <w:rsid w:val="001C7A66"/>
    <w:rsid w:val="001D00FE"/>
    <w:rsid w:val="001E0D9F"/>
    <w:rsid w:val="001E1FD8"/>
    <w:rsid w:val="001E546D"/>
    <w:rsid w:val="001F2D80"/>
    <w:rsid w:val="001F6703"/>
    <w:rsid w:val="00206E74"/>
    <w:rsid w:val="00217D6A"/>
    <w:rsid w:val="00221D33"/>
    <w:rsid w:val="00230F55"/>
    <w:rsid w:val="00231702"/>
    <w:rsid w:val="00237D1F"/>
    <w:rsid w:val="00241432"/>
    <w:rsid w:val="00241F9D"/>
    <w:rsid w:val="00252174"/>
    <w:rsid w:val="00254C54"/>
    <w:rsid w:val="00257115"/>
    <w:rsid w:val="00266739"/>
    <w:rsid w:val="0027111A"/>
    <w:rsid w:val="002711B5"/>
    <w:rsid w:val="0028129F"/>
    <w:rsid w:val="00281B93"/>
    <w:rsid w:val="0028499A"/>
    <w:rsid w:val="00287A86"/>
    <w:rsid w:val="0029733E"/>
    <w:rsid w:val="002A5C52"/>
    <w:rsid w:val="002B6683"/>
    <w:rsid w:val="002C49F8"/>
    <w:rsid w:val="002C5FEB"/>
    <w:rsid w:val="002E19FC"/>
    <w:rsid w:val="002E61D4"/>
    <w:rsid w:val="002F0849"/>
    <w:rsid w:val="00303A0D"/>
    <w:rsid w:val="00304C84"/>
    <w:rsid w:val="00305BE1"/>
    <w:rsid w:val="00315872"/>
    <w:rsid w:val="00327EDF"/>
    <w:rsid w:val="003335D5"/>
    <w:rsid w:val="003422AB"/>
    <w:rsid w:val="003450AD"/>
    <w:rsid w:val="003515D8"/>
    <w:rsid w:val="00352AB3"/>
    <w:rsid w:val="0035308E"/>
    <w:rsid w:val="00364665"/>
    <w:rsid w:val="00366D7D"/>
    <w:rsid w:val="00373A70"/>
    <w:rsid w:val="003753AD"/>
    <w:rsid w:val="003827F9"/>
    <w:rsid w:val="003839DA"/>
    <w:rsid w:val="00383FB7"/>
    <w:rsid w:val="00386ACC"/>
    <w:rsid w:val="00390731"/>
    <w:rsid w:val="003964ED"/>
    <w:rsid w:val="003973BA"/>
    <w:rsid w:val="003A4076"/>
    <w:rsid w:val="003B42AB"/>
    <w:rsid w:val="003B4486"/>
    <w:rsid w:val="003B70F8"/>
    <w:rsid w:val="003B7D20"/>
    <w:rsid w:val="003C160A"/>
    <w:rsid w:val="003C78DA"/>
    <w:rsid w:val="003E20E0"/>
    <w:rsid w:val="003E37BB"/>
    <w:rsid w:val="003F31EA"/>
    <w:rsid w:val="00401FD7"/>
    <w:rsid w:val="004126CF"/>
    <w:rsid w:val="00413C6F"/>
    <w:rsid w:val="00413E64"/>
    <w:rsid w:val="0042387B"/>
    <w:rsid w:val="00427A78"/>
    <w:rsid w:val="00443CA9"/>
    <w:rsid w:val="00446F3F"/>
    <w:rsid w:val="0045135C"/>
    <w:rsid w:val="00454B1E"/>
    <w:rsid w:val="00461C0D"/>
    <w:rsid w:val="00466A7F"/>
    <w:rsid w:val="0047790A"/>
    <w:rsid w:val="0048229C"/>
    <w:rsid w:val="004836F3"/>
    <w:rsid w:val="00491372"/>
    <w:rsid w:val="0049228A"/>
    <w:rsid w:val="00496733"/>
    <w:rsid w:val="00497E5C"/>
    <w:rsid w:val="004A4A69"/>
    <w:rsid w:val="004A4D58"/>
    <w:rsid w:val="004A766D"/>
    <w:rsid w:val="004B05A0"/>
    <w:rsid w:val="004B2EBF"/>
    <w:rsid w:val="004B39E4"/>
    <w:rsid w:val="004B510D"/>
    <w:rsid w:val="004C0FB2"/>
    <w:rsid w:val="004D0192"/>
    <w:rsid w:val="004D3D9D"/>
    <w:rsid w:val="004E105A"/>
    <w:rsid w:val="004E1652"/>
    <w:rsid w:val="004E728B"/>
    <w:rsid w:val="004F26E2"/>
    <w:rsid w:val="004F6B16"/>
    <w:rsid w:val="004F7A74"/>
    <w:rsid w:val="0050064C"/>
    <w:rsid w:val="00502C7C"/>
    <w:rsid w:val="00512DF5"/>
    <w:rsid w:val="005143CB"/>
    <w:rsid w:val="005155AD"/>
    <w:rsid w:val="005160D9"/>
    <w:rsid w:val="005166D8"/>
    <w:rsid w:val="00524F18"/>
    <w:rsid w:val="00531A36"/>
    <w:rsid w:val="00533173"/>
    <w:rsid w:val="00543196"/>
    <w:rsid w:val="005431DA"/>
    <w:rsid w:val="00543EED"/>
    <w:rsid w:val="0054629A"/>
    <w:rsid w:val="00552AAE"/>
    <w:rsid w:val="0056241A"/>
    <w:rsid w:val="005656F7"/>
    <w:rsid w:val="0056632F"/>
    <w:rsid w:val="0056710E"/>
    <w:rsid w:val="0056761F"/>
    <w:rsid w:val="00567FEB"/>
    <w:rsid w:val="005778A0"/>
    <w:rsid w:val="00587224"/>
    <w:rsid w:val="00592EB1"/>
    <w:rsid w:val="005935DC"/>
    <w:rsid w:val="00594AF7"/>
    <w:rsid w:val="00594E5E"/>
    <w:rsid w:val="005B2B8D"/>
    <w:rsid w:val="005B7BF7"/>
    <w:rsid w:val="005C329E"/>
    <w:rsid w:val="005C36AD"/>
    <w:rsid w:val="005D2D8E"/>
    <w:rsid w:val="005D3D20"/>
    <w:rsid w:val="005D46D0"/>
    <w:rsid w:val="005D63A6"/>
    <w:rsid w:val="005D7EC0"/>
    <w:rsid w:val="005E3691"/>
    <w:rsid w:val="005F0F46"/>
    <w:rsid w:val="005F3CBB"/>
    <w:rsid w:val="005F54C2"/>
    <w:rsid w:val="005F63A6"/>
    <w:rsid w:val="005F7BD4"/>
    <w:rsid w:val="006118D6"/>
    <w:rsid w:val="00612283"/>
    <w:rsid w:val="0061579A"/>
    <w:rsid w:val="00615F71"/>
    <w:rsid w:val="0061733A"/>
    <w:rsid w:val="00631AC0"/>
    <w:rsid w:val="00633A9A"/>
    <w:rsid w:val="00637491"/>
    <w:rsid w:val="00641F9B"/>
    <w:rsid w:val="00642FF8"/>
    <w:rsid w:val="00650355"/>
    <w:rsid w:val="00662258"/>
    <w:rsid w:val="00663170"/>
    <w:rsid w:val="006643A5"/>
    <w:rsid w:val="00690967"/>
    <w:rsid w:val="00694596"/>
    <w:rsid w:val="00696B60"/>
    <w:rsid w:val="006B5250"/>
    <w:rsid w:val="006B7FD0"/>
    <w:rsid w:val="006C1F3F"/>
    <w:rsid w:val="006C6FD0"/>
    <w:rsid w:val="006D7EF5"/>
    <w:rsid w:val="006E0C63"/>
    <w:rsid w:val="006E3022"/>
    <w:rsid w:val="006E753F"/>
    <w:rsid w:val="006F45F4"/>
    <w:rsid w:val="006F4A32"/>
    <w:rsid w:val="007068B5"/>
    <w:rsid w:val="00712D1E"/>
    <w:rsid w:val="007208C1"/>
    <w:rsid w:val="00725DB2"/>
    <w:rsid w:val="007316E7"/>
    <w:rsid w:val="00733B40"/>
    <w:rsid w:val="00735CF2"/>
    <w:rsid w:val="00741CE5"/>
    <w:rsid w:val="00746ABA"/>
    <w:rsid w:val="00752050"/>
    <w:rsid w:val="0075253C"/>
    <w:rsid w:val="00753701"/>
    <w:rsid w:val="00753A83"/>
    <w:rsid w:val="00757140"/>
    <w:rsid w:val="00757B32"/>
    <w:rsid w:val="00766F22"/>
    <w:rsid w:val="00770107"/>
    <w:rsid w:val="00772FD2"/>
    <w:rsid w:val="00785D9F"/>
    <w:rsid w:val="0079784A"/>
    <w:rsid w:val="007A3703"/>
    <w:rsid w:val="007A4DA7"/>
    <w:rsid w:val="007A64CD"/>
    <w:rsid w:val="007A75A3"/>
    <w:rsid w:val="007B3A1F"/>
    <w:rsid w:val="007B4F7B"/>
    <w:rsid w:val="007B555F"/>
    <w:rsid w:val="007C0C90"/>
    <w:rsid w:val="007D0F85"/>
    <w:rsid w:val="007D3056"/>
    <w:rsid w:val="007D4007"/>
    <w:rsid w:val="007D4395"/>
    <w:rsid w:val="007F096C"/>
    <w:rsid w:val="00805599"/>
    <w:rsid w:val="00806242"/>
    <w:rsid w:val="00806465"/>
    <w:rsid w:val="008162E6"/>
    <w:rsid w:val="008258FD"/>
    <w:rsid w:val="00841B6B"/>
    <w:rsid w:val="00850F7F"/>
    <w:rsid w:val="0086219E"/>
    <w:rsid w:val="0086573E"/>
    <w:rsid w:val="008658B2"/>
    <w:rsid w:val="00865B67"/>
    <w:rsid w:val="00865E16"/>
    <w:rsid w:val="008679E6"/>
    <w:rsid w:val="00874CB8"/>
    <w:rsid w:val="00881C1B"/>
    <w:rsid w:val="00886B57"/>
    <w:rsid w:val="00896FD3"/>
    <w:rsid w:val="008A0144"/>
    <w:rsid w:val="008A0E16"/>
    <w:rsid w:val="008A20D1"/>
    <w:rsid w:val="008B5BAC"/>
    <w:rsid w:val="008B704C"/>
    <w:rsid w:val="008C6416"/>
    <w:rsid w:val="008C7C90"/>
    <w:rsid w:val="008D6787"/>
    <w:rsid w:val="008E2648"/>
    <w:rsid w:val="008E41A6"/>
    <w:rsid w:val="008E681A"/>
    <w:rsid w:val="00903B12"/>
    <w:rsid w:val="00912C19"/>
    <w:rsid w:val="00912E52"/>
    <w:rsid w:val="00915D65"/>
    <w:rsid w:val="0091783E"/>
    <w:rsid w:val="00917E54"/>
    <w:rsid w:val="009239BA"/>
    <w:rsid w:val="0092621E"/>
    <w:rsid w:val="00940584"/>
    <w:rsid w:val="0094343D"/>
    <w:rsid w:val="00951ADE"/>
    <w:rsid w:val="00952F89"/>
    <w:rsid w:val="00971CEE"/>
    <w:rsid w:val="00973C8A"/>
    <w:rsid w:val="00974842"/>
    <w:rsid w:val="00992D73"/>
    <w:rsid w:val="00995FF3"/>
    <w:rsid w:val="009A0884"/>
    <w:rsid w:val="009A0998"/>
    <w:rsid w:val="009A0B1E"/>
    <w:rsid w:val="009C16E9"/>
    <w:rsid w:val="009C3CE4"/>
    <w:rsid w:val="009C503F"/>
    <w:rsid w:val="009E1DFF"/>
    <w:rsid w:val="009E3693"/>
    <w:rsid w:val="009F0DF6"/>
    <w:rsid w:val="009F775E"/>
    <w:rsid w:val="00A037AB"/>
    <w:rsid w:val="00A11DED"/>
    <w:rsid w:val="00A148D4"/>
    <w:rsid w:val="00A155E3"/>
    <w:rsid w:val="00A16039"/>
    <w:rsid w:val="00A20002"/>
    <w:rsid w:val="00A20A4E"/>
    <w:rsid w:val="00A33F46"/>
    <w:rsid w:val="00A34F87"/>
    <w:rsid w:val="00A36071"/>
    <w:rsid w:val="00A451C1"/>
    <w:rsid w:val="00A56B6F"/>
    <w:rsid w:val="00A6687B"/>
    <w:rsid w:val="00A74417"/>
    <w:rsid w:val="00A92B03"/>
    <w:rsid w:val="00AA39D0"/>
    <w:rsid w:val="00AB524D"/>
    <w:rsid w:val="00AB6641"/>
    <w:rsid w:val="00AE18DC"/>
    <w:rsid w:val="00AE2B15"/>
    <w:rsid w:val="00AE596D"/>
    <w:rsid w:val="00AF08D3"/>
    <w:rsid w:val="00AF2D4A"/>
    <w:rsid w:val="00B01A9C"/>
    <w:rsid w:val="00B02E39"/>
    <w:rsid w:val="00B04471"/>
    <w:rsid w:val="00B04F25"/>
    <w:rsid w:val="00B10F47"/>
    <w:rsid w:val="00B1489A"/>
    <w:rsid w:val="00B15AE9"/>
    <w:rsid w:val="00B27E0C"/>
    <w:rsid w:val="00B31F40"/>
    <w:rsid w:val="00B400BE"/>
    <w:rsid w:val="00B63B56"/>
    <w:rsid w:val="00B66905"/>
    <w:rsid w:val="00B67B20"/>
    <w:rsid w:val="00B7147C"/>
    <w:rsid w:val="00B77476"/>
    <w:rsid w:val="00B80D08"/>
    <w:rsid w:val="00B81811"/>
    <w:rsid w:val="00B819CB"/>
    <w:rsid w:val="00B835CA"/>
    <w:rsid w:val="00B951F0"/>
    <w:rsid w:val="00B97903"/>
    <w:rsid w:val="00BC0447"/>
    <w:rsid w:val="00BC0AEE"/>
    <w:rsid w:val="00BD181F"/>
    <w:rsid w:val="00BD18FD"/>
    <w:rsid w:val="00BD37E7"/>
    <w:rsid w:val="00BE09F7"/>
    <w:rsid w:val="00C015C4"/>
    <w:rsid w:val="00C020AB"/>
    <w:rsid w:val="00C02BD6"/>
    <w:rsid w:val="00C07832"/>
    <w:rsid w:val="00C1019B"/>
    <w:rsid w:val="00C21769"/>
    <w:rsid w:val="00C2225A"/>
    <w:rsid w:val="00C22FF4"/>
    <w:rsid w:val="00C274F2"/>
    <w:rsid w:val="00C32552"/>
    <w:rsid w:val="00C33761"/>
    <w:rsid w:val="00C34C5F"/>
    <w:rsid w:val="00C35972"/>
    <w:rsid w:val="00C3793A"/>
    <w:rsid w:val="00C37B24"/>
    <w:rsid w:val="00C50151"/>
    <w:rsid w:val="00C50AA4"/>
    <w:rsid w:val="00C50BF4"/>
    <w:rsid w:val="00C5148E"/>
    <w:rsid w:val="00C54C6D"/>
    <w:rsid w:val="00C61298"/>
    <w:rsid w:val="00C720A5"/>
    <w:rsid w:val="00C74B7B"/>
    <w:rsid w:val="00C8144E"/>
    <w:rsid w:val="00C814EA"/>
    <w:rsid w:val="00C83C65"/>
    <w:rsid w:val="00C83F1E"/>
    <w:rsid w:val="00C85DA7"/>
    <w:rsid w:val="00C8645E"/>
    <w:rsid w:val="00C9154F"/>
    <w:rsid w:val="00C9180F"/>
    <w:rsid w:val="00C94AF8"/>
    <w:rsid w:val="00C94D67"/>
    <w:rsid w:val="00C95302"/>
    <w:rsid w:val="00C97511"/>
    <w:rsid w:val="00C979BD"/>
    <w:rsid w:val="00CA5A27"/>
    <w:rsid w:val="00CA76F8"/>
    <w:rsid w:val="00CB01A4"/>
    <w:rsid w:val="00CB6F56"/>
    <w:rsid w:val="00CC03E0"/>
    <w:rsid w:val="00CC3B83"/>
    <w:rsid w:val="00CD2C94"/>
    <w:rsid w:val="00CD5ABD"/>
    <w:rsid w:val="00CE6689"/>
    <w:rsid w:val="00CF40C9"/>
    <w:rsid w:val="00D01563"/>
    <w:rsid w:val="00D0411A"/>
    <w:rsid w:val="00D079EA"/>
    <w:rsid w:val="00D12031"/>
    <w:rsid w:val="00D150FF"/>
    <w:rsid w:val="00D20F3F"/>
    <w:rsid w:val="00D25C97"/>
    <w:rsid w:val="00D3258A"/>
    <w:rsid w:val="00D34071"/>
    <w:rsid w:val="00D36F4D"/>
    <w:rsid w:val="00D44D15"/>
    <w:rsid w:val="00D44E07"/>
    <w:rsid w:val="00D4708F"/>
    <w:rsid w:val="00D50B3B"/>
    <w:rsid w:val="00D712A7"/>
    <w:rsid w:val="00D75381"/>
    <w:rsid w:val="00D76177"/>
    <w:rsid w:val="00D828C5"/>
    <w:rsid w:val="00D87B50"/>
    <w:rsid w:val="00D91F0A"/>
    <w:rsid w:val="00D93D5E"/>
    <w:rsid w:val="00D94B6B"/>
    <w:rsid w:val="00DA5F63"/>
    <w:rsid w:val="00DB0E46"/>
    <w:rsid w:val="00DB2756"/>
    <w:rsid w:val="00DC1605"/>
    <w:rsid w:val="00DD657C"/>
    <w:rsid w:val="00DE4BFE"/>
    <w:rsid w:val="00DE7ABE"/>
    <w:rsid w:val="00DF5E4D"/>
    <w:rsid w:val="00E014DC"/>
    <w:rsid w:val="00E04930"/>
    <w:rsid w:val="00E0511F"/>
    <w:rsid w:val="00E069A2"/>
    <w:rsid w:val="00E113A4"/>
    <w:rsid w:val="00E131E2"/>
    <w:rsid w:val="00E3003A"/>
    <w:rsid w:val="00E32E26"/>
    <w:rsid w:val="00E3431B"/>
    <w:rsid w:val="00E35854"/>
    <w:rsid w:val="00E3781E"/>
    <w:rsid w:val="00E4146C"/>
    <w:rsid w:val="00E4352D"/>
    <w:rsid w:val="00E46C2E"/>
    <w:rsid w:val="00E61604"/>
    <w:rsid w:val="00E63723"/>
    <w:rsid w:val="00E77604"/>
    <w:rsid w:val="00E82FD7"/>
    <w:rsid w:val="00E8351C"/>
    <w:rsid w:val="00EA0A4E"/>
    <w:rsid w:val="00EA2BA5"/>
    <w:rsid w:val="00EA435C"/>
    <w:rsid w:val="00EA5901"/>
    <w:rsid w:val="00EA599E"/>
    <w:rsid w:val="00EA6137"/>
    <w:rsid w:val="00EB280B"/>
    <w:rsid w:val="00EB2E05"/>
    <w:rsid w:val="00EB343B"/>
    <w:rsid w:val="00EB3D39"/>
    <w:rsid w:val="00EB483D"/>
    <w:rsid w:val="00EB6CDF"/>
    <w:rsid w:val="00EB7546"/>
    <w:rsid w:val="00EC0195"/>
    <w:rsid w:val="00EC29F0"/>
    <w:rsid w:val="00EC51F0"/>
    <w:rsid w:val="00ED1630"/>
    <w:rsid w:val="00ED28B1"/>
    <w:rsid w:val="00ED3424"/>
    <w:rsid w:val="00EE0F99"/>
    <w:rsid w:val="00EE1EE3"/>
    <w:rsid w:val="00EE41B9"/>
    <w:rsid w:val="00EF5FF5"/>
    <w:rsid w:val="00F029F6"/>
    <w:rsid w:val="00F02FD3"/>
    <w:rsid w:val="00F106CC"/>
    <w:rsid w:val="00F22B96"/>
    <w:rsid w:val="00F279D7"/>
    <w:rsid w:val="00F32FCB"/>
    <w:rsid w:val="00F4050D"/>
    <w:rsid w:val="00F41172"/>
    <w:rsid w:val="00F41A9D"/>
    <w:rsid w:val="00F53B02"/>
    <w:rsid w:val="00F54123"/>
    <w:rsid w:val="00F55760"/>
    <w:rsid w:val="00F621F6"/>
    <w:rsid w:val="00F72880"/>
    <w:rsid w:val="00F74F6C"/>
    <w:rsid w:val="00F75E98"/>
    <w:rsid w:val="00F814F2"/>
    <w:rsid w:val="00F868E9"/>
    <w:rsid w:val="00F87FD9"/>
    <w:rsid w:val="00F908D1"/>
    <w:rsid w:val="00F92D2C"/>
    <w:rsid w:val="00F95615"/>
    <w:rsid w:val="00FA42D3"/>
    <w:rsid w:val="00FA6083"/>
    <w:rsid w:val="00FA6ED6"/>
    <w:rsid w:val="00FC2760"/>
    <w:rsid w:val="00FD0FBD"/>
    <w:rsid w:val="00FD57AE"/>
    <w:rsid w:val="00FE7781"/>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30"/>
  <w15:chartTrackingRefBased/>
  <w15:docId w15:val="{9D44FD63-9516-4621-9ECF-E85189B6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de-DE" w:eastAsia="zh-CN"/>
    </w:rPr>
  </w:style>
  <w:style w:type="paragraph" w:styleId="Heading1">
    <w:name w:val="heading 1"/>
    <w:basedOn w:val="Normal"/>
    <w:next w:val="Normal"/>
    <w:qFormat/>
    <w:pPr>
      <w:keepNext/>
      <w:numPr>
        <w:numId w:val="1"/>
      </w:numPr>
      <w:spacing w:after="120"/>
      <w:outlineLvl w:val="0"/>
    </w:pPr>
    <w:rPr>
      <w:b/>
      <w:sz w:val="28"/>
      <w:szCs w:val="28"/>
    </w:rPr>
  </w:style>
  <w:style w:type="paragraph" w:styleId="Heading3">
    <w:name w:val="heading 3"/>
    <w:basedOn w:val="Normal"/>
    <w:next w:val="Normal"/>
    <w:qFormat/>
    <w:pPr>
      <w:keepNext/>
      <w:numPr>
        <w:ilvl w:val="2"/>
        <w:numId w:val="1"/>
      </w:numPr>
      <w:spacing w:before="180" w:after="240"/>
      <w:jc w:val="right"/>
      <w:outlineLvl w:val="2"/>
    </w:pPr>
    <w:rPr>
      <w:sz w:val="20"/>
      <w:szCs w:val="20"/>
      <w:lang w:val="en-US" w:eastAsia="en-US"/>
    </w:rPr>
  </w:style>
  <w:style w:type="paragraph" w:styleId="Heading4">
    <w:name w:val="heading 4"/>
    <w:basedOn w:val="Normal"/>
    <w:next w:val="Normal"/>
    <w:qFormat/>
    <w:pPr>
      <w:keepNext/>
      <w:numPr>
        <w:ilvl w:val="3"/>
        <w:numId w:val="1"/>
      </w:numPr>
      <w:spacing w:before="240" w:after="60" w:line="240" w:lineRule="exact"/>
      <w:jc w:val="both"/>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1">
    <w:name w:val="Domyślna czcionka akapitu1"/>
  </w:style>
  <w:style w:type="character" w:customStyle="1" w:styleId="Nagwek1Znak">
    <w:name w:val="Nagłówek 1 Znak"/>
    <w:rPr>
      <w:b/>
      <w:sz w:val="28"/>
      <w:szCs w:val="28"/>
      <w:lang w:val="de-DE" w:bidi="ar-SA"/>
    </w:rPr>
  </w:style>
  <w:style w:type="character" w:customStyle="1" w:styleId="Nagwek3Znak">
    <w:name w:val="Nagłówek 3 Znak"/>
    <w:rPr>
      <w:lang w:val="en-US" w:eastAsia="en-US" w:bidi="ar-SA"/>
    </w:rPr>
  </w:style>
  <w:style w:type="character" w:customStyle="1" w:styleId="1GrobuchstabenChar">
    <w:name w:val="Ü 1 + Großbuchstaben Char"/>
    <w:rPr>
      <w:b/>
      <w:bCs/>
      <w:caps/>
      <w:sz w:val="28"/>
      <w:szCs w:val="28"/>
      <w:lang w:val="de-DE" w:bidi="ar-SA"/>
    </w:rPr>
  </w:style>
  <w:style w:type="character" w:customStyle="1" w:styleId="1KursivChar">
    <w:name w:val="Ü 1 + Kursiv Char"/>
    <w:rPr>
      <w:b/>
      <w:bCs/>
      <w:i/>
      <w:iCs/>
      <w:sz w:val="28"/>
      <w:szCs w:val="28"/>
      <w:lang w:val="de-DE" w:bidi="ar-SA"/>
    </w:rPr>
  </w:style>
  <w:style w:type="character" w:customStyle="1" w:styleId="Nagwek4Znak">
    <w:name w:val="Nagłówek 4 Znak"/>
    <w:rPr>
      <w:bCs/>
      <w:sz w:val="24"/>
      <w:szCs w:val="28"/>
      <w:lang w:val="de-DE"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1Grobuchstaben">
    <w:name w:val="Ü 1 + Großbuchstaben"/>
    <w:basedOn w:val="Heading1"/>
    <w:pPr>
      <w:numPr>
        <w:numId w:val="0"/>
      </w:numPr>
    </w:pPr>
    <w:rPr>
      <w:bCs/>
      <w:caps/>
    </w:rPr>
  </w:style>
  <w:style w:type="paragraph" w:customStyle="1" w:styleId="1Kursiv">
    <w:name w:val="Ü 1 + Kursiv"/>
    <w:basedOn w:val="Heading1"/>
    <w:pPr>
      <w:numPr>
        <w:numId w:val="0"/>
      </w:numPr>
    </w:pPr>
    <w:rPr>
      <w:bCs/>
      <w:i/>
      <w:iCs/>
    </w:rPr>
  </w:style>
  <w:style w:type="paragraph" w:customStyle="1" w:styleId="Tekstdymka1">
    <w:name w:val="Tekst dymka1"/>
    <w:basedOn w:val="Normal"/>
    <w:rPr>
      <w:rFonts w:ascii="Tahoma" w:hAnsi="Tahoma" w:cs="Tahoma"/>
      <w:sz w:val="16"/>
      <w:szCs w:val="16"/>
    </w:rPr>
  </w:style>
  <w:style w:type="paragraph" w:customStyle="1" w:styleId="PreformattedText">
    <w:name w:val="Preformatted Text"/>
    <w:basedOn w:val="Normal"/>
    <w:rPr>
      <w:rFonts w:ascii="Liberation Mono" w:eastAsia="NSimSun" w:hAnsi="Liberation Mono" w:cs="Liberation Mono"/>
      <w:sz w:val="20"/>
      <w:szCs w:val="20"/>
    </w:rPr>
  </w:style>
  <w:style w:type="table" w:styleId="TableGrid">
    <w:name w:val="Table Grid"/>
    <w:basedOn w:val="TableNormal"/>
    <w:uiPriority w:val="39"/>
    <w:rsid w:val="000C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3A64"/>
    <w:rPr>
      <w:rFonts w:ascii="Consolas" w:hAnsi="Consolas"/>
      <w:sz w:val="20"/>
      <w:szCs w:val="20"/>
    </w:rPr>
  </w:style>
  <w:style w:type="character" w:customStyle="1" w:styleId="HTMLPreformattedChar">
    <w:name w:val="HTML Preformatted Char"/>
    <w:link w:val="HTMLPreformatted"/>
    <w:uiPriority w:val="99"/>
    <w:semiHidden/>
    <w:rsid w:val="00143A64"/>
    <w:rPr>
      <w:rFonts w:ascii="Consolas" w:hAnsi="Consolas"/>
      <w:lang w:val="de-DE" w:eastAsia="zh-CN"/>
    </w:rPr>
  </w:style>
  <w:style w:type="paragraph" w:styleId="ListParagraph">
    <w:name w:val="List Paragraph"/>
    <w:basedOn w:val="Normal"/>
    <w:uiPriority w:val="34"/>
    <w:qFormat/>
    <w:rsid w:val="005935DC"/>
    <w:pPr>
      <w:ind w:left="720"/>
      <w:contextualSpacing/>
    </w:pPr>
  </w:style>
  <w:style w:type="paragraph" w:styleId="BalloonText">
    <w:name w:val="Balloon Text"/>
    <w:basedOn w:val="Normal"/>
    <w:link w:val="BalloonTextChar"/>
    <w:uiPriority w:val="99"/>
    <w:semiHidden/>
    <w:unhideWhenUsed/>
    <w:rsid w:val="00FD0FBD"/>
    <w:rPr>
      <w:rFonts w:ascii="Segoe UI" w:hAnsi="Segoe UI" w:cs="Segoe UI"/>
      <w:sz w:val="18"/>
      <w:szCs w:val="18"/>
    </w:rPr>
  </w:style>
  <w:style w:type="character" w:customStyle="1" w:styleId="BalloonTextChar">
    <w:name w:val="Balloon Text Char"/>
    <w:link w:val="BalloonText"/>
    <w:uiPriority w:val="99"/>
    <w:semiHidden/>
    <w:rsid w:val="00FD0FBD"/>
    <w:rPr>
      <w:rFonts w:ascii="Segoe UI" w:hAnsi="Segoe UI" w:cs="Segoe UI"/>
      <w:sz w:val="18"/>
      <w:szCs w:val="18"/>
      <w:lang w:val="de-DE" w:eastAsia="zh-CN"/>
    </w:rPr>
  </w:style>
  <w:style w:type="character" w:styleId="CommentReference">
    <w:name w:val="annotation reference"/>
    <w:uiPriority w:val="99"/>
    <w:semiHidden/>
    <w:unhideWhenUsed/>
    <w:rsid w:val="0092621E"/>
    <w:rPr>
      <w:sz w:val="16"/>
      <w:szCs w:val="16"/>
    </w:rPr>
  </w:style>
  <w:style w:type="paragraph" w:styleId="CommentText">
    <w:name w:val="annotation text"/>
    <w:basedOn w:val="Normal"/>
    <w:link w:val="CommentTextChar"/>
    <w:uiPriority w:val="99"/>
    <w:semiHidden/>
    <w:unhideWhenUsed/>
    <w:rsid w:val="0092621E"/>
    <w:rPr>
      <w:sz w:val="20"/>
      <w:szCs w:val="20"/>
    </w:rPr>
  </w:style>
  <w:style w:type="character" w:customStyle="1" w:styleId="CommentTextChar">
    <w:name w:val="Comment Text Char"/>
    <w:link w:val="CommentText"/>
    <w:uiPriority w:val="99"/>
    <w:semiHidden/>
    <w:rsid w:val="0092621E"/>
    <w:rPr>
      <w:lang w:val="de-DE" w:eastAsia="zh-CN"/>
    </w:rPr>
  </w:style>
  <w:style w:type="paragraph" w:styleId="CommentSubject">
    <w:name w:val="annotation subject"/>
    <w:basedOn w:val="CommentText"/>
    <w:next w:val="CommentText"/>
    <w:link w:val="CommentSubjectChar"/>
    <w:uiPriority w:val="99"/>
    <w:semiHidden/>
    <w:unhideWhenUsed/>
    <w:rsid w:val="0092621E"/>
    <w:rPr>
      <w:b/>
      <w:bCs/>
    </w:rPr>
  </w:style>
  <w:style w:type="character" w:customStyle="1" w:styleId="CommentSubjectChar">
    <w:name w:val="Comment Subject Char"/>
    <w:link w:val="CommentSubject"/>
    <w:uiPriority w:val="99"/>
    <w:semiHidden/>
    <w:rsid w:val="0092621E"/>
    <w:rPr>
      <w:b/>
      <w:bCs/>
      <w:lang w:val="de-DE" w:eastAsia="zh-CN"/>
    </w:rPr>
  </w:style>
  <w:style w:type="character" w:customStyle="1" w:styleId="UnresolvedMention1">
    <w:name w:val="Unresolved Mention1"/>
    <w:uiPriority w:val="99"/>
    <w:semiHidden/>
    <w:unhideWhenUsed/>
    <w:rsid w:val="00084095"/>
    <w:rPr>
      <w:color w:val="605E5C"/>
      <w:shd w:val="clear" w:color="auto" w:fill="E1DFDD"/>
    </w:rPr>
  </w:style>
  <w:style w:type="paragraph" w:styleId="NormalWeb">
    <w:name w:val="Normal (Web)"/>
    <w:basedOn w:val="Normal"/>
    <w:uiPriority w:val="99"/>
    <w:unhideWhenUsed/>
    <w:rsid w:val="005F7BD4"/>
    <w:pPr>
      <w:suppressAutoHyphens w:val="0"/>
      <w:spacing w:before="100" w:beforeAutospacing="1" w:after="100" w:afterAutospacing="1"/>
    </w:pPr>
    <w:rPr>
      <w:lang w:val="en-US" w:eastAsia="en-US"/>
    </w:rPr>
  </w:style>
  <w:style w:type="character" w:styleId="UnresolvedMention">
    <w:name w:val="Unresolved Mention"/>
    <w:uiPriority w:val="99"/>
    <w:semiHidden/>
    <w:unhideWhenUsed/>
    <w:rsid w:val="00C9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5193">
      <w:bodyDiv w:val="1"/>
      <w:marLeft w:val="0"/>
      <w:marRight w:val="0"/>
      <w:marTop w:val="0"/>
      <w:marBottom w:val="0"/>
      <w:divBdr>
        <w:top w:val="none" w:sz="0" w:space="0" w:color="auto"/>
        <w:left w:val="none" w:sz="0" w:space="0" w:color="auto"/>
        <w:bottom w:val="none" w:sz="0" w:space="0" w:color="auto"/>
        <w:right w:val="none" w:sz="0" w:space="0" w:color="auto"/>
      </w:divBdr>
    </w:div>
    <w:div w:id="246961921">
      <w:bodyDiv w:val="1"/>
      <w:marLeft w:val="0"/>
      <w:marRight w:val="0"/>
      <w:marTop w:val="0"/>
      <w:marBottom w:val="0"/>
      <w:divBdr>
        <w:top w:val="none" w:sz="0" w:space="0" w:color="auto"/>
        <w:left w:val="none" w:sz="0" w:space="0" w:color="auto"/>
        <w:bottom w:val="none" w:sz="0" w:space="0" w:color="auto"/>
        <w:right w:val="none" w:sz="0" w:space="0" w:color="auto"/>
      </w:divBdr>
    </w:div>
    <w:div w:id="347342028">
      <w:bodyDiv w:val="1"/>
      <w:marLeft w:val="0"/>
      <w:marRight w:val="0"/>
      <w:marTop w:val="0"/>
      <w:marBottom w:val="0"/>
      <w:divBdr>
        <w:top w:val="none" w:sz="0" w:space="0" w:color="auto"/>
        <w:left w:val="none" w:sz="0" w:space="0" w:color="auto"/>
        <w:bottom w:val="none" w:sz="0" w:space="0" w:color="auto"/>
        <w:right w:val="none" w:sz="0" w:space="0" w:color="auto"/>
      </w:divBdr>
    </w:div>
    <w:div w:id="562133101">
      <w:bodyDiv w:val="1"/>
      <w:marLeft w:val="0"/>
      <w:marRight w:val="0"/>
      <w:marTop w:val="0"/>
      <w:marBottom w:val="0"/>
      <w:divBdr>
        <w:top w:val="none" w:sz="0" w:space="0" w:color="auto"/>
        <w:left w:val="none" w:sz="0" w:space="0" w:color="auto"/>
        <w:bottom w:val="none" w:sz="0" w:space="0" w:color="auto"/>
        <w:right w:val="none" w:sz="0" w:space="0" w:color="auto"/>
      </w:divBdr>
    </w:div>
    <w:div w:id="570651806">
      <w:bodyDiv w:val="1"/>
      <w:marLeft w:val="0"/>
      <w:marRight w:val="0"/>
      <w:marTop w:val="0"/>
      <w:marBottom w:val="0"/>
      <w:divBdr>
        <w:top w:val="none" w:sz="0" w:space="0" w:color="auto"/>
        <w:left w:val="none" w:sz="0" w:space="0" w:color="auto"/>
        <w:bottom w:val="none" w:sz="0" w:space="0" w:color="auto"/>
        <w:right w:val="none" w:sz="0" w:space="0" w:color="auto"/>
      </w:divBdr>
    </w:div>
    <w:div w:id="1434471979">
      <w:bodyDiv w:val="1"/>
      <w:marLeft w:val="0"/>
      <w:marRight w:val="0"/>
      <w:marTop w:val="0"/>
      <w:marBottom w:val="0"/>
      <w:divBdr>
        <w:top w:val="none" w:sz="0" w:space="0" w:color="auto"/>
        <w:left w:val="none" w:sz="0" w:space="0" w:color="auto"/>
        <w:bottom w:val="none" w:sz="0" w:space="0" w:color="auto"/>
        <w:right w:val="none" w:sz="0" w:space="0" w:color="auto"/>
      </w:divBdr>
    </w:div>
    <w:div w:id="1735202718">
      <w:bodyDiv w:val="1"/>
      <w:marLeft w:val="0"/>
      <w:marRight w:val="0"/>
      <w:marTop w:val="0"/>
      <w:marBottom w:val="0"/>
      <w:divBdr>
        <w:top w:val="none" w:sz="0" w:space="0" w:color="auto"/>
        <w:left w:val="none" w:sz="0" w:space="0" w:color="auto"/>
        <w:bottom w:val="none" w:sz="0" w:space="0" w:color="auto"/>
        <w:right w:val="none" w:sz="0" w:space="0" w:color="auto"/>
      </w:divBdr>
    </w:div>
    <w:div w:id="18155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333D-67AB-4D8F-B29D-D2F1B270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1915</Words>
  <Characters>10918</Characters>
  <Application>Microsoft Office Word</Application>
  <DocSecurity>0</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Benalcazar</dc:creator>
  <cp:keywords/>
  <cp:lastModifiedBy>Pablo Benalcazar</cp:lastModifiedBy>
  <cp:revision>2</cp:revision>
  <cp:lastPrinted>1899-12-31T23:00:00Z</cp:lastPrinted>
  <dcterms:created xsi:type="dcterms:W3CDTF">2019-03-17T19:42:00Z</dcterms:created>
  <dcterms:modified xsi:type="dcterms:W3CDTF">2019-03-17T19:42:00Z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dff6097f-cde5-3076-9294-27a2fd2f50d6</vt:lpwstr>
  </property>
  <property fmtid="{D5CDD505-2E9C-101B-9397-08002B2CF9AE}" pid="24" name="Mendeley Citation Style_1">
    <vt:lpwstr>http://www.zotero.org/styles/ieee</vt:lpwstr>
  </property>
</Properties>
</file>