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982C16" w:rsidRDefault="00BD1755" w:rsidP="00982C16">
      <w:pPr>
        <w:pStyle w:val="a6"/>
        <w:framePr w:w="10800" w:h="2142" w:hRule="exact" w:hSpace="187" w:wrap="auto" w:vAnchor="page" w:hAnchor="page" w:x="714" w:y="1085"/>
        <w:rPr>
          <w:rFonts w:hint="eastAsia"/>
          <w:b/>
          <w:sz w:val="28"/>
          <w:szCs w:val="28"/>
          <w:lang w:eastAsia="ko-KR"/>
        </w:rPr>
      </w:pPr>
      <w:r>
        <w:rPr>
          <w:rFonts w:hint="eastAsia"/>
          <w:b/>
          <w:i/>
          <w:caps/>
          <w:sz w:val="28"/>
          <w:szCs w:val="28"/>
          <w:lang w:eastAsia="ko-KR"/>
        </w:rPr>
        <w:t>c</w:t>
      </w:r>
      <w:r>
        <w:rPr>
          <w:b/>
          <w:i/>
          <w:caps/>
          <w:sz w:val="28"/>
          <w:szCs w:val="28"/>
          <w:lang w:eastAsia="ko-KR"/>
        </w:rPr>
        <w:t xml:space="preserve">omparative analysis on </w:t>
      </w:r>
      <w:r w:rsidR="0059173E">
        <w:rPr>
          <w:b/>
          <w:i/>
          <w:caps/>
          <w:sz w:val="28"/>
          <w:szCs w:val="28"/>
          <w:lang w:eastAsia="ko-KR"/>
        </w:rPr>
        <w:t xml:space="preserve">environmental kuznets curve focusing on </w:t>
      </w:r>
      <w:r>
        <w:rPr>
          <w:b/>
          <w:i/>
          <w:caps/>
          <w:sz w:val="28"/>
          <w:szCs w:val="28"/>
          <w:lang w:eastAsia="ko-KR"/>
        </w:rPr>
        <w:t xml:space="preserve">the </w:t>
      </w:r>
      <w:r w:rsidR="0059173E">
        <w:rPr>
          <w:b/>
          <w:i/>
          <w:caps/>
          <w:sz w:val="28"/>
          <w:szCs w:val="28"/>
          <w:lang w:eastAsia="ko-KR"/>
        </w:rPr>
        <w:t>turning point</w:t>
      </w:r>
    </w:p>
    <w:p w:rsidR="00DC69F1" w:rsidRDefault="00DC69F1" w:rsidP="00DC69F1">
      <w:pPr>
        <w:pStyle w:val="a6"/>
        <w:framePr w:w="10800" w:h="2142" w:hRule="exact" w:hSpace="187" w:wrap="auto" w:vAnchor="page" w:hAnchor="page" w:x="714" w:y="1085"/>
        <w:rPr>
          <w:b/>
          <w:sz w:val="28"/>
          <w:szCs w:val="28"/>
        </w:rPr>
      </w:pPr>
    </w:p>
    <w:p w:rsidR="00982C16" w:rsidRPr="00D767DA" w:rsidRDefault="00982C16" w:rsidP="00982C16">
      <w:pPr>
        <w:pStyle w:val="a6"/>
        <w:framePr w:w="10800" w:h="2142" w:hRule="exact" w:hSpace="187" w:wrap="auto" w:vAnchor="page" w:hAnchor="page" w:x="714" w:y="1085"/>
        <w:jc w:val="right"/>
        <w:rPr>
          <w:sz w:val="20"/>
        </w:rPr>
      </w:pPr>
      <w:r w:rsidRPr="00D767DA">
        <w:rPr>
          <w:sz w:val="20"/>
        </w:rPr>
        <w:t xml:space="preserve"> </w:t>
      </w:r>
      <w:r>
        <w:rPr>
          <w:rFonts w:hint="eastAsia"/>
          <w:sz w:val="20"/>
          <w:lang w:eastAsia="ko-KR"/>
        </w:rPr>
        <w:t>T</w:t>
      </w:r>
      <w:r>
        <w:rPr>
          <w:sz w:val="20"/>
          <w:lang w:eastAsia="ko-KR"/>
        </w:rPr>
        <w:t xml:space="preserve">aeyoung Jin, Hanyang University, Phone +82 10 3100 4363, E-mail: </w:t>
      </w:r>
      <w:hyperlink r:id="rId8" w:history="1">
        <w:r w:rsidRPr="00AC4734">
          <w:rPr>
            <w:rStyle w:val="a9"/>
            <w:rFonts w:hint="eastAsia"/>
            <w:sz w:val="20"/>
            <w:lang w:eastAsia="ko-KR"/>
          </w:rPr>
          <w:t>tyjin@hanyang.ac.kr</w:t>
        </w:r>
      </w:hyperlink>
    </w:p>
    <w:p w:rsidR="004C048E" w:rsidRDefault="00982C16" w:rsidP="00982C16">
      <w:pPr>
        <w:pStyle w:val="a6"/>
        <w:framePr w:w="10800" w:h="2142" w:hRule="exact" w:hSpace="187" w:wrap="auto" w:vAnchor="page" w:hAnchor="page" w:x="714" w:y="1085"/>
        <w:jc w:val="right"/>
        <w:rPr>
          <w:highlight w:val="yellow"/>
        </w:rPr>
      </w:pPr>
      <w:r w:rsidRPr="00085C3F">
        <w:rPr>
          <w:sz w:val="20"/>
        </w:rPr>
        <w:t>J</w:t>
      </w:r>
      <w:r>
        <w:rPr>
          <w:rFonts w:hint="eastAsia"/>
          <w:sz w:val="20"/>
          <w:lang w:eastAsia="ko-KR"/>
        </w:rPr>
        <w:t>insoo</w:t>
      </w:r>
      <w:r w:rsidRPr="00085C3F">
        <w:rPr>
          <w:sz w:val="20"/>
        </w:rPr>
        <w:t xml:space="preserve"> Kim, Hanyang University</w:t>
      </w:r>
      <w:r>
        <w:rPr>
          <w:sz w:val="20"/>
        </w:rPr>
        <w:t>,</w:t>
      </w:r>
      <w:r>
        <w:rPr>
          <w:rFonts w:hint="eastAsia"/>
          <w:sz w:val="20"/>
          <w:lang w:eastAsia="ko-KR"/>
        </w:rPr>
        <w:t xml:space="preserve"> Phone</w:t>
      </w:r>
      <w:r>
        <w:rPr>
          <w:sz w:val="20"/>
        </w:rPr>
        <w:t xml:space="preserve"> </w:t>
      </w:r>
      <w:r>
        <w:rPr>
          <w:rFonts w:hint="eastAsia"/>
          <w:sz w:val="20"/>
          <w:lang w:eastAsia="ko-KR"/>
        </w:rPr>
        <w:t>+ 82 2 2220 2241</w:t>
      </w:r>
      <w:r>
        <w:rPr>
          <w:sz w:val="20"/>
        </w:rPr>
        <w:t>,</w:t>
      </w:r>
      <w:r>
        <w:rPr>
          <w:rFonts w:hint="eastAsia"/>
          <w:sz w:val="20"/>
          <w:lang w:eastAsia="ko-KR"/>
        </w:rPr>
        <w:t xml:space="preserve"> E-</w:t>
      </w:r>
      <w:r w:rsidRPr="00D767DA">
        <w:rPr>
          <w:sz w:val="20"/>
        </w:rPr>
        <w:t>mail</w:t>
      </w:r>
      <w:r>
        <w:rPr>
          <w:rFonts w:hint="eastAsia"/>
          <w:sz w:val="20"/>
          <w:lang w:eastAsia="ko-KR"/>
        </w:rPr>
        <w:t xml:space="preserve">: </w:t>
      </w:r>
      <w:hyperlink r:id="rId9" w:history="1">
        <w:r w:rsidRPr="005A67B0">
          <w:rPr>
            <w:rStyle w:val="a9"/>
            <w:rFonts w:hint="eastAsia"/>
            <w:sz w:val="20"/>
            <w:lang w:eastAsia="ko-KR"/>
          </w:rPr>
          <w:t>jinsookim@hanyang.ac.kr</w:t>
        </w:r>
      </w:hyperlink>
      <w:r>
        <w:rPr>
          <w:rFonts w:hint="eastAsia"/>
          <w:sz w:val="20"/>
          <w:lang w:eastAsia="ko-KR"/>
        </w:rPr>
        <w:t xml:space="preserve"> </w:t>
      </w:r>
    </w:p>
    <w:p w:rsidR="00DC69F1" w:rsidRDefault="00DC69F1">
      <w:pPr>
        <w:pStyle w:val="2"/>
        <w:rPr>
          <w:i w:val="0"/>
          <w:sz w:val="24"/>
          <w:szCs w:val="24"/>
        </w:rPr>
      </w:pPr>
      <w:r w:rsidRPr="00476853">
        <w:rPr>
          <w:i w:val="0"/>
          <w:sz w:val="24"/>
          <w:szCs w:val="24"/>
        </w:rPr>
        <w:t>Overview</w:t>
      </w:r>
    </w:p>
    <w:p w:rsidR="00F92C32" w:rsidRDefault="00F92C32" w:rsidP="008B7D8B">
      <w:pPr>
        <w:ind w:firstLineChars="50" w:firstLine="100"/>
        <w:jc w:val="both"/>
        <w:rPr>
          <w:lang w:eastAsia="ko-KR"/>
        </w:rPr>
      </w:pPr>
      <w:r>
        <w:rPr>
          <w:lang w:eastAsia="ko-KR"/>
        </w:rPr>
        <w:t xml:space="preserve">Climate change has emerged </w:t>
      </w:r>
      <w:r w:rsidR="007531A2">
        <w:rPr>
          <w:rFonts w:hint="eastAsia"/>
          <w:lang w:eastAsia="ko-KR"/>
        </w:rPr>
        <w:t>a</w:t>
      </w:r>
      <w:r w:rsidR="007531A2">
        <w:rPr>
          <w:lang w:eastAsia="ko-KR"/>
        </w:rPr>
        <w:t xml:space="preserve"> </w:t>
      </w:r>
      <w:r>
        <w:rPr>
          <w:lang w:eastAsia="ko-KR"/>
        </w:rPr>
        <w:t xml:space="preserve">serious problem. </w:t>
      </w:r>
      <w:r w:rsidR="007531A2">
        <w:rPr>
          <w:lang w:eastAsia="ko-KR"/>
        </w:rPr>
        <w:t>International</w:t>
      </w:r>
      <w:r>
        <w:rPr>
          <w:lang w:eastAsia="ko-KR"/>
        </w:rPr>
        <w:t xml:space="preserve"> organizations such as </w:t>
      </w:r>
      <w:r w:rsidR="007531A2">
        <w:rPr>
          <w:lang w:eastAsia="ko-KR"/>
        </w:rPr>
        <w:t xml:space="preserve">the </w:t>
      </w:r>
      <w:r>
        <w:rPr>
          <w:lang w:eastAsia="ko-KR"/>
        </w:rPr>
        <w:t>Inter</w:t>
      </w:r>
      <w:bookmarkStart w:id="0" w:name="_GoBack"/>
      <w:bookmarkEnd w:id="0"/>
      <w:r>
        <w:rPr>
          <w:lang w:eastAsia="ko-KR"/>
        </w:rPr>
        <w:t>governmental Panel on Climate Change (IPCC) have published the annual report. The Paris agreement was ratified successfully,</w:t>
      </w:r>
      <w:r w:rsidR="00BD1755">
        <w:rPr>
          <w:lang w:eastAsia="ko-KR"/>
        </w:rPr>
        <w:t xml:space="preserve"> though</w:t>
      </w:r>
      <w:r>
        <w:rPr>
          <w:lang w:eastAsia="ko-KR"/>
        </w:rPr>
        <w:t xml:space="preserve"> </w:t>
      </w:r>
      <w:r w:rsidR="00BD1755">
        <w:rPr>
          <w:lang w:eastAsia="ko-KR"/>
        </w:rPr>
        <w:t>it has</w:t>
      </w:r>
      <w:r>
        <w:rPr>
          <w:lang w:eastAsia="ko-KR"/>
        </w:rPr>
        <w:t xml:space="preserve"> </w:t>
      </w:r>
      <w:r w:rsidR="00BD1755">
        <w:rPr>
          <w:lang w:eastAsia="ko-KR"/>
        </w:rPr>
        <w:t xml:space="preserve">weak </w:t>
      </w:r>
      <w:r>
        <w:rPr>
          <w:lang w:eastAsia="ko-KR"/>
        </w:rPr>
        <w:t>binding force for parties. The parties must reduc</w:t>
      </w:r>
      <w:r w:rsidR="009854A6">
        <w:rPr>
          <w:lang w:eastAsia="ko-KR"/>
        </w:rPr>
        <w:t>e</w:t>
      </w:r>
      <w:r>
        <w:rPr>
          <w:lang w:eastAsia="ko-KR"/>
        </w:rPr>
        <w:t xml:space="preserve"> their carbon emissions</w:t>
      </w:r>
      <w:r w:rsidR="009854A6">
        <w:rPr>
          <w:lang w:eastAsia="ko-KR"/>
        </w:rPr>
        <w:t xml:space="preserve"> by intended nationally determined contribution. The Paris agreement includes technology transfer business from developed to developing countries. </w:t>
      </w:r>
      <w:r w:rsidR="00067C1F">
        <w:rPr>
          <w:lang w:eastAsia="ko-KR"/>
        </w:rPr>
        <w:t>Although t</w:t>
      </w:r>
      <w:r w:rsidR="009854A6">
        <w:rPr>
          <w:lang w:eastAsia="ko-KR"/>
        </w:rPr>
        <w:t xml:space="preserve">his seems to imply </w:t>
      </w:r>
      <w:r w:rsidR="00067C1F">
        <w:rPr>
          <w:lang w:eastAsia="ko-KR"/>
        </w:rPr>
        <w:t>international cooperation to solve the climate change problem, there exists another perspective. Developed countries attempt to share the responsibility on climate change</w:t>
      </w:r>
      <w:r w:rsidR="000C0A0D">
        <w:rPr>
          <w:lang w:eastAsia="ko-KR"/>
        </w:rPr>
        <w:t xml:space="preserve"> to developing countries</w:t>
      </w:r>
      <w:r w:rsidR="00067C1F">
        <w:rPr>
          <w:lang w:eastAsia="ko-KR"/>
        </w:rPr>
        <w:t xml:space="preserve"> which may be caused by the development procedure of developed countries.</w:t>
      </w:r>
      <w:r w:rsidR="000C0A0D">
        <w:rPr>
          <w:lang w:eastAsia="ko-KR"/>
        </w:rPr>
        <w:t xml:space="preserve"> Thus, it </w:t>
      </w:r>
      <w:r w:rsidR="00395D13">
        <w:rPr>
          <w:lang w:eastAsia="ko-KR"/>
        </w:rPr>
        <w:t xml:space="preserve">may be </w:t>
      </w:r>
      <w:r w:rsidR="000C0A0D">
        <w:rPr>
          <w:lang w:eastAsia="ko-KR"/>
        </w:rPr>
        <w:t xml:space="preserve">a role of developed countries to make policy implication as the precedents. By investigating the turning point of </w:t>
      </w:r>
      <w:r w:rsidR="007531A2">
        <w:rPr>
          <w:lang w:eastAsia="ko-KR"/>
        </w:rPr>
        <w:t xml:space="preserve">the </w:t>
      </w:r>
      <w:r w:rsidR="000C0A0D">
        <w:rPr>
          <w:lang w:eastAsia="ko-KR"/>
        </w:rPr>
        <w:t xml:space="preserve">Environmental Kuznets Curve (EKC) with developed countries data, we can forecast the time when developing countries will </w:t>
      </w:r>
      <w:proofErr w:type="gramStart"/>
      <w:r w:rsidR="000C0A0D">
        <w:rPr>
          <w:lang w:eastAsia="ko-KR"/>
        </w:rPr>
        <w:t>make an effort</w:t>
      </w:r>
      <w:proofErr w:type="gramEnd"/>
      <w:r w:rsidR="000C0A0D">
        <w:rPr>
          <w:lang w:eastAsia="ko-KR"/>
        </w:rPr>
        <w:t xml:space="preserve"> to carbon mitigation.</w:t>
      </w:r>
    </w:p>
    <w:p w:rsidR="00F054DE" w:rsidRDefault="00595D7E" w:rsidP="008B7D8B">
      <w:pPr>
        <w:ind w:firstLineChars="50" w:firstLine="100"/>
        <w:jc w:val="both"/>
        <w:rPr>
          <w:lang w:eastAsia="ko-KR"/>
        </w:rPr>
      </w:pPr>
      <w:r>
        <w:rPr>
          <w:lang w:eastAsia="ko-KR"/>
        </w:rPr>
        <w:t>International Energy Agency (IEA) published the report covering the relationship between energy and climate change (IEA, 2015). The two</w:t>
      </w:r>
      <w:r w:rsidR="007531A2">
        <w:rPr>
          <w:lang w:eastAsia="ko-KR"/>
        </w:rPr>
        <w:t>-</w:t>
      </w:r>
      <w:r>
        <w:rPr>
          <w:lang w:eastAsia="ko-KR"/>
        </w:rPr>
        <w:t>thirds of greenhouse gase</w:t>
      </w:r>
      <w:r w:rsidR="007531A2">
        <w:rPr>
          <w:lang w:eastAsia="ko-KR"/>
        </w:rPr>
        <w:t>s</w:t>
      </w:r>
      <w:r>
        <w:rPr>
          <w:lang w:eastAsia="ko-KR"/>
        </w:rPr>
        <w:t xml:space="preserve"> emissions are related to energy production and consumption. Therefore, desirable energy roadmap can be a shortcut for sustainable development. </w:t>
      </w:r>
      <w:r w:rsidR="00F054DE">
        <w:rPr>
          <w:rFonts w:hint="eastAsia"/>
          <w:lang w:eastAsia="ko-KR"/>
        </w:rPr>
        <w:t>S</w:t>
      </w:r>
      <w:r w:rsidR="003323EB">
        <w:rPr>
          <w:lang w:eastAsia="ko-KR"/>
        </w:rPr>
        <w:t>tochastic Impacts by Regression on Population, Affluence</w:t>
      </w:r>
      <w:r w:rsidR="007531A2">
        <w:rPr>
          <w:lang w:eastAsia="ko-KR"/>
        </w:rPr>
        <w:t>,</w:t>
      </w:r>
      <w:r w:rsidR="003323EB">
        <w:rPr>
          <w:lang w:eastAsia="ko-KR"/>
        </w:rPr>
        <w:t xml:space="preserve"> and Technology (S</w:t>
      </w:r>
      <w:r w:rsidR="00F054DE">
        <w:rPr>
          <w:lang w:eastAsia="ko-KR"/>
        </w:rPr>
        <w:t>TIRPAT</w:t>
      </w:r>
      <w:r w:rsidR="003323EB">
        <w:rPr>
          <w:lang w:eastAsia="ko-KR"/>
        </w:rPr>
        <w:t>)</w:t>
      </w:r>
      <w:r w:rsidR="00F054DE">
        <w:rPr>
          <w:lang w:eastAsia="ko-KR"/>
        </w:rPr>
        <w:t xml:space="preserve"> analysis</w:t>
      </w:r>
      <w:r w:rsidR="003323EB">
        <w:rPr>
          <w:lang w:eastAsia="ko-KR"/>
        </w:rPr>
        <w:t xml:space="preserve">, which is a model to investigate the </w:t>
      </w:r>
      <w:r w:rsidR="007531A2">
        <w:rPr>
          <w:lang w:eastAsia="ko-KR"/>
        </w:rPr>
        <w:t>determinants</w:t>
      </w:r>
      <w:r w:rsidR="003323EB">
        <w:rPr>
          <w:lang w:eastAsia="ko-KR"/>
        </w:rPr>
        <w:t xml:space="preserve"> of economic degradation,</w:t>
      </w:r>
      <w:r w:rsidR="00F054DE">
        <w:rPr>
          <w:lang w:eastAsia="ko-KR"/>
        </w:rPr>
        <w:t xml:space="preserve"> is conducted to suggest energy policy direction.</w:t>
      </w:r>
    </w:p>
    <w:p w:rsidR="00982C16" w:rsidRDefault="00395D13" w:rsidP="00F92C32">
      <w:pPr>
        <w:ind w:firstLineChars="50" w:firstLine="100"/>
        <w:jc w:val="both"/>
        <w:rPr>
          <w:rFonts w:hint="eastAsia"/>
          <w:lang w:eastAsia="ko-KR"/>
        </w:rPr>
      </w:pPr>
      <w:r>
        <w:rPr>
          <w:lang w:eastAsia="ko-KR"/>
        </w:rPr>
        <w:t xml:space="preserve">In EKC study, the turning point denotes the point that the relationship between per capita income and per capita environmental degradation is going to be different. For instance, the zero gradient point </w:t>
      </w:r>
      <w:r w:rsidR="006941DC">
        <w:rPr>
          <w:lang w:eastAsia="ko-KR"/>
        </w:rPr>
        <w:t xml:space="preserve">is the turning point </w:t>
      </w:r>
      <w:r>
        <w:rPr>
          <w:lang w:eastAsia="ko-KR"/>
        </w:rPr>
        <w:t xml:space="preserve">under the assumption of inverted U-shape curve of EKC. </w:t>
      </w:r>
      <w:r w:rsidR="00982C16">
        <w:rPr>
          <w:rFonts w:hint="eastAsia"/>
          <w:lang w:eastAsia="ko-KR"/>
        </w:rPr>
        <w:t xml:space="preserve">The purpose of this </w:t>
      </w:r>
      <w:r w:rsidR="0059173E">
        <w:rPr>
          <w:lang w:eastAsia="ko-KR"/>
        </w:rPr>
        <w:t>study</w:t>
      </w:r>
      <w:r w:rsidR="00982C16">
        <w:rPr>
          <w:rFonts w:hint="eastAsia"/>
          <w:lang w:eastAsia="ko-KR"/>
        </w:rPr>
        <w:t xml:space="preserve"> is to </w:t>
      </w:r>
      <w:r w:rsidR="0059173E">
        <w:rPr>
          <w:lang w:eastAsia="ko-KR"/>
        </w:rPr>
        <w:t xml:space="preserve">make policy implication for developing countries by investigating the turning point of </w:t>
      </w:r>
      <w:r w:rsidR="007531A2">
        <w:rPr>
          <w:lang w:eastAsia="ko-KR"/>
        </w:rPr>
        <w:t xml:space="preserve">the </w:t>
      </w:r>
      <w:r w:rsidR="0059173E">
        <w:rPr>
          <w:lang w:eastAsia="ko-KR"/>
        </w:rPr>
        <w:t xml:space="preserve">EKC hypothesis and the </w:t>
      </w:r>
      <w:r w:rsidR="007531A2">
        <w:rPr>
          <w:lang w:eastAsia="ko-KR"/>
        </w:rPr>
        <w:t>determinants</w:t>
      </w:r>
      <w:r w:rsidR="0059173E">
        <w:rPr>
          <w:lang w:eastAsia="ko-KR"/>
        </w:rPr>
        <w:t xml:space="preserve"> of each turning point. To accomplish this, we conduct the comparative analysis for </w:t>
      </w:r>
      <w:r w:rsidR="007531A2">
        <w:rPr>
          <w:lang w:eastAsia="ko-KR"/>
        </w:rPr>
        <w:t xml:space="preserve">the </w:t>
      </w:r>
      <w:r w:rsidR="0059173E">
        <w:rPr>
          <w:lang w:eastAsia="ko-KR"/>
        </w:rPr>
        <w:t xml:space="preserve">EKC hypothesis confirmation </w:t>
      </w:r>
      <w:r w:rsidR="0061716C">
        <w:rPr>
          <w:lang w:eastAsia="ko-KR"/>
        </w:rPr>
        <w:t>adopting two analy</w:t>
      </w:r>
      <w:r w:rsidR="00FF17BF">
        <w:rPr>
          <w:lang w:eastAsia="ko-KR"/>
        </w:rPr>
        <w:t>sis framework which use</w:t>
      </w:r>
      <w:r w:rsidR="007531A2">
        <w:rPr>
          <w:lang w:eastAsia="ko-KR"/>
        </w:rPr>
        <w:t>s</w:t>
      </w:r>
      <w:r w:rsidR="00FF17BF">
        <w:rPr>
          <w:lang w:eastAsia="ko-KR"/>
        </w:rPr>
        <w:t xml:space="preserve"> </w:t>
      </w:r>
      <w:r w:rsidR="0059173E">
        <w:rPr>
          <w:lang w:eastAsia="ko-KR"/>
        </w:rPr>
        <w:t>degradation intensity and per capita variable</w:t>
      </w:r>
      <w:r w:rsidR="00FF17BF">
        <w:rPr>
          <w:lang w:eastAsia="ko-KR"/>
        </w:rPr>
        <w:t>, respectively.</w:t>
      </w:r>
      <w:r w:rsidR="00F92C32">
        <w:rPr>
          <w:lang w:eastAsia="ko-KR"/>
        </w:rPr>
        <w:t xml:space="preserve"> Time series analysis for each country is also adopted to estimate the turning point of each country. Since </w:t>
      </w:r>
      <w:r w:rsidR="007531A2">
        <w:rPr>
          <w:lang w:eastAsia="ko-KR"/>
        </w:rPr>
        <w:t xml:space="preserve">the </w:t>
      </w:r>
      <w:r w:rsidR="00F92C32">
        <w:rPr>
          <w:lang w:eastAsia="ko-KR"/>
        </w:rPr>
        <w:t xml:space="preserve">EKC hypothesis is </w:t>
      </w:r>
      <w:proofErr w:type="gramStart"/>
      <w:r w:rsidR="00F92C32">
        <w:rPr>
          <w:lang w:eastAsia="ko-KR"/>
        </w:rPr>
        <w:t>based on the fact that</w:t>
      </w:r>
      <w:proofErr w:type="gramEnd"/>
      <w:r w:rsidR="00F92C32">
        <w:rPr>
          <w:lang w:eastAsia="ko-KR"/>
        </w:rPr>
        <w:t xml:space="preserve"> environmental conservation efforts start to be made when a country’s economic level reaches </w:t>
      </w:r>
      <w:r w:rsidR="007531A2">
        <w:rPr>
          <w:lang w:eastAsia="ko-KR"/>
        </w:rPr>
        <w:t xml:space="preserve">a </w:t>
      </w:r>
      <w:r w:rsidR="00F92C32">
        <w:rPr>
          <w:lang w:eastAsia="ko-KR"/>
        </w:rPr>
        <w:t>certain level, our empirical study is conducted for developed countries</w:t>
      </w:r>
      <w:r w:rsidR="00BC68E4">
        <w:rPr>
          <w:lang w:eastAsia="ko-KR"/>
        </w:rPr>
        <w:t xml:space="preserve"> – </w:t>
      </w:r>
      <w:r w:rsidR="00F92C32">
        <w:rPr>
          <w:lang w:eastAsia="ko-KR"/>
        </w:rPr>
        <w:t xml:space="preserve">OECD. </w:t>
      </w:r>
    </w:p>
    <w:p w:rsidR="00DC69F1" w:rsidRDefault="00DC69F1" w:rsidP="00DC69F1">
      <w:pPr>
        <w:pStyle w:val="2"/>
        <w:rPr>
          <w:i w:val="0"/>
          <w:sz w:val="24"/>
          <w:szCs w:val="24"/>
        </w:rPr>
      </w:pPr>
      <w:r w:rsidRPr="00D767DA">
        <w:rPr>
          <w:i w:val="0"/>
          <w:sz w:val="24"/>
          <w:szCs w:val="24"/>
        </w:rPr>
        <w:t>Methods</w:t>
      </w:r>
    </w:p>
    <w:p w:rsidR="000F5033" w:rsidRDefault="00E25F49" w:rsidP="00077BA5">
      <w:pPr>
        <w:ind w:firstLineChars="50" w:firstLine="100"/>
        <w:jc w:val="both"/>
        <w:rPr>
          <w:lang w:eastAsia="ko-KR"/>
        </w:rPr>
      </w:pPr>
      <w:r>
        <w:rPr>
          <w:lang w:eastAsia="ko-KR"/>
        </w:rPr>
        <w:t>In this paper, two EKC empirical frameworks are adopted. One</w:t>
      </w:r>
      <w:r w:rsidR="006C13F2" w:rsidRPr="006C13F2">
        <w:rPr>
          <w:lang w:eastAsia="ko-KR"/>
        </w:rPr>
        <w:t xml:space="preserve"> </w:t>
      </w:r>
      <w:r w:rsidR="006C13F2">
        <w:rPr>
          <w:lang w:eastAsia="ko-KR"/>
        </w:rPr>
        <w:t>is estimation with per capita variables</w:t>
      </w:r>
      <w:r w:rsidR="00077BA5">
        <w:rPr>
          <w:lang w:eastAsia="ko-KR"/>
        </w:rPr>
        <w:t xml:space="preserve">. The other </w:t>
      </w:r>
      <w:r w:rsidR="006C13F2">
        <w:rPr>
          <w:lang w:eastAsia="ko-KR"/>
        </w:rPr>
        <w:t>is based on degradation intensity</w:t>
      </w:r>
      <w:r w:rsidR="00077BA5">
        <w:rPr>
          <w:lang w:eastAsia="ko-KR"/>
        </w:rPr>
        <w:t>.</w:t>
      </w:r>
      <w:r w:rsidR="006C13F2">
        <w:rPr>
          <w:lang w:eastAsia="ko-KR"/>
        </w:rPr>
        <w:t xml:space="preserve"> The estimation with per capita variables is a traditional EKC hypothesis confirmation which investigates the inverted-U shaped relationship between per capita income and per capita environmental degradation. </w:t>
      </w:r>
      <w:r w:rsidR="008E210E">
        <w:rPr>
          <w:lang w:eastAsia="ko-KR"/>
        </w:rPr>
        <w:t xml:space="preserve">In this analysis, we use </w:t>
      </w:r>
      <w:r w:rsidR="007531A2">
        <w:rPr>
          <w:lang w:eastAsia="ko-KR"/>
        </w:rPr>
        <w:t xml:space="preserve">the </w:t>
      </w:r>
      <w:r w:rsidR="008E210E">
        <w:rPr>
          <w:lang w:eastAsia="ko-KR"/>
        </w:rPr>
        <w:t>following equational framework:</w:t>
      </w:r>
    </w:p>
    <w:p w:rsidR="000B2F29" w:rsidRDefault="000B2F29" w:rsidP="00077BA5">
      <w:pPr>
        <w:ind w:firstLineChars="50" w:firstLine="100"/>
        <w:jc w:val="both"/>
        <w:rPr>
          <w:rFonts w:hint="eastAsia"/>
          <w:lang w:eastAsia="ko-KR"/>
        </w:rPr>
      </w:pPr>
    </w:p>
    <w:p w:rsidR="000B2F29" w:rsidRDefault="00D34107" w:rsidP="000B2F29">
      <w:pPr>
        <w:ind w:firstLineChars="50" w:firstLine="120"/>
        <w:jc w:val="both"/>
        <w:rPr>
          <w:lang w:eastAsia="ko-KR"/>
        </w:rPr>
      </w:pPr>
      <w:r w:rsidRPr="00D34107">
        <w:rPr>
          <w:color w:val="000000"/>
          <w:kern w:val="2"/>
          <w:position w:val="-10"/>
          <w:sz w:val="24"/>
          <w:szCs w:val="22"/>
          <w:lang w:val="en-US" w:eastAsia="ko-KR"/>
        </w:rPr>
        <w:object w:dxaOrig="13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15.75pt" o:ole="">
            <v:imagedata r:id="rId10" o:title=""/>
          </v:shape>
          <o:OLEObject Type="Embed" ProgID="Equation.DSMT4" ShapeID="_x0000_i1025" DrawAspect="Content" ObjectID="_1613850343" r:id="rId11"/>
        </w:object>
      </w:r>
      <w:r>
        <w:rPr>
          <w:color w:val="000000"/>
          <w:kern w:val="2"/>
          <w:sz w:val="24"/>
          <w:szCs w:val="22"/>
          <w:lang w:val="en-US" w:eastAsia="ko-KR"/>
        </w:rPr>
        <w:t xml:space="preserve"> </w:t>
      </w:r>
      <w:r w:rsidR="008E210E">
        <w:rPr>
          <w:color w:val="000000"/>
          <w:kern w:val="2"/>
          <w:sz w:val="24"/>
          <w:szCs w:val="22"/>
          <w:lang w:val="en-US" w:eastAsia="ko-KR"/>
        </w:rPr>
        <w:t>,</w:t>
      </w:r>
      <w:r w:rsidR="00982C16" w:rsidRPr="00982C16">
        <w:rPr>
          <w:lang w:eastAsia="ko-KR"/>
        </w:rPr>
        <w:tab/>
      </w:r>
      <w:r w:rsidR="00982C16" w:rsidRPr="00982C16">
        <w:rPr>
          <w:lang w:eastAsia="ko-KR"/>
        </w:rPr>
        <w:tab/>
      </w:r>
      <w:r w:rsidR="00982C16" w:rsidRPr="00982C16">
        <w:rPr>
          <w:lang w:eastAsia="ko-KR"/>
        </w:rPr>
        <w:tab/>
      </w:r>
      <w:r w:rsidR="0041131E">
        <w:rPr>
          <w:lang w:eastAsia="ko-KR"/>
        </w:rPr>
        <w:tab/>
      </w:r>
      <w:r w:rsidR="0041131E">
        <w:rPr>
          <w:lang w:eastAsia="ko-KR"/>
        </w:rPr>
        <w:tab/>
      </w:r>
      <w:r w:rsidR="008E210E">
        <w:rPr>
          <w:lang w:eastAsia="ko-KR"/>
        </w:rPr>
        <w:tab/>
      </w:r>
      <w:r w:rsidR="008E210E">
        <w:rPr>
          <w:lang w:eastAsia="ko-KR"/>
        </w:rPr>
        <w:tab/>
      </w:r>
      <w:r w:rsidR="008E210E">
        <w:rPr>
          <w:lang w:eastAsia="ko-KR"/>
        </w:rPr>
        <w:tab/>
      </w:r>
      <w:r w:rsidR="008E210E">
        <w:rPr>
          <w:lang w:eastAsia="ko-KR"/>
        </w:rPr>
        <w:tab/>
      </w:r>
      <w:r w:rsidR="008E210E">
        <w:rPr>
          <w:lang w:eastAsia="ko-KR"/>
        </w:rPr>
        <w:tab/>
      </w:r>
      <w:r w:rsidR="00982C16" w:rsidRPr="00982C16">
        <w:rPr>
          <w:rFonts w:hint="eastAsia"/>
          <w:lang w:eastAsia="ko-KR"/>
        </w:rPr>
        <w:t>(1)</w:t>
      </w:r>
    </w:p>
    <w:p w:rsidR="008E210E" w:rsidRDefault="008E210E" w:rsidP="000B2F29">
      <w:pPr>
        <w:ind w:firstLineChars="50" w:firstLine="100"/>
        <w:jc w:val="both"/>
        <w:rPr>
          <w:lang w:eastAsia="ko-KR"/>
        </w:rPr>
      </w:pPr>
    </w:p>
    <w:p w:rsidR="00E3162D" w:rsidRDefault="008E210E" w:rsidP="008E210E">
      <w:pPr>
        <w:jc w:val="both"/>
        <w:rPr>
          <w:rFonts w:hint="eastAsia"/>
          <w:lang w:eastAsia="ko-KR"/>
        </w:rPr>
      </w:pPr>
      <w:r>
        <w:rPr>
          <w:lang w:eastAsia="ko-KR"/>
        </w:rPr>
        <w:t xml:space="preserve">where </w:t>
      </w:r>
      <w:r w:rsidRPr="008E210E">
        <w:rPr>
          <w:position w:val="-6"/>
          <w:lang w:eastAsia="ko-KR"/>
        </w:rPr>
        <w:object w:dxaOrig="200" w:dyaOrig="240">
          <v:shape id="_x0000_i1026" type="#_x0000_t75" style="width:9.75pt;height:12pt" o:ole="">
            <v:imagedata r:id="rId12" o:title=""/>
          </v:shape>
          <o:OLEObject Type="Embed" ProgID="Equation.DSMT4" ShapeID="_x0000_i1026" DrawAspect="Content" ObjectID="_1613850344" r:id="rId13"/>
        </w:object>
      </w:r>
      <w:r>
        <w:rPr>
          <w:lang w:eastAsia="ko-KR"/>
        </w:rPr>
        <w:t xml:space="preserve"> indicates carbon emissions per capita as </w:t>
      </w:r>
      <w:r w:rsidR="007531A2">
        <w:rPr>
          <w:lang w:eastAsia="ko-KR"/>
        </w:rPr>
        <w:t xml:space="preserve">a </w:t>
      </w:r>
      <w:r>
        <w:rPr>
          <w:lang w:eastAsia="ko-KR"/>
        </w:rPr>
        <w:t xml:space="preserve">dependent variable. </w:t>
      </w:r>
      <w:r w:rsidR="00D34107" w:rsidRPr="00D34107">
        <w:rPr>
          <w:position w:val="-4"/>
          <w:lang w:eastAsia="ko-KR"/>
        </w:rPr>
        <w:object w:dxaOrig="200" w:dyaOrig="220">
          <v:shape id="_x0000_i1027" type="#_x0000_t75" style="width:9.75pt;height:11.25pt" o:ole="">
            <v:imagedata r:id="rId14" o:title=""/>
          </v:shape>
          <o:OLEObject Type="Embed" ProgID="Equation.DSMT4" ShapeID="_x0000_i1027" DrawAspect="Content" ObjectID="_1613850345" r:id="rId15"/>
        </w:object>
      </w:r>
      <w:r w:rsidR="00D34107">
        <w:rPr>
          <w:lang w:eastAsia="ko-KR"/>
        </w:rPr>
        <w:t xml:space="preserve"> and </w:t>
      </w:r>
      <w:r w:rsidR="00D34107" w:rsidRPr="00D34107">
        <w:rPr>
          <w:position w:val="-4"/>
          <w:lang w:eastAsia="ko-KR"/>
        </w:rPr>
        <w:object w:dxaOrig="260" w:dyaOrig="260">
          <v:shape id="_x0000_i1028" type="#_x0000_t75" style="width:12.75pt;height:12.75pt" o:ole="">
            <v:imagedata r:id="rId16" o:title=""/>
          </v:shape>
          <o:OLEObject Type="Embed" ProgID="Equation.DSMT4" ShapeID="_x0000_i1028" DrawAspect="Content" ObjectID="_1613850346" r:id="rId17"/>
        </w:object>
      </w:r>
      <w:r w:rsidR="00D34107">
        <w:rPr>
          <w:lang w:eastAsia="ko-KR"/>
        </w:rPr>
        <w:t xml:space="preserve"> are per capita GDP and quadratic form of it, respectively. </w:t>
      </w:r>
      <w:r w:rsidR="00D34107" w:rsidRPr="00D34107">
        <w:rPr>
          <w:position w:val="-4"/>
          <w:lang w:eastAsia="ko-KR"/>
        </w:rPr>
        <w:object w:dxaOrig="220" w:dyaOrig="220">
          <v:shape id="_x0000_i1029" type="#_x0000_t75" style="width:11.25pt;height:11.25pt" o:ole="">
            <v:imagedata r:id="rId18" o:title=""/>
          </v:shape>
          <o:OLEObject Type="Embed" ProgID="Equation.DSMT4" ShapeID="_x0000_i1029" DrawAspect="Content" ObjectID="_1613850347" r:id="rId19"/>
        </w:object>
      </w:r>
      <w:r w:rsidR="00D34107">
        <w:rPr>
          <w:lang w:eastAsia="ko-KR"/>
        </w:rPr>
        <w:t xml:space="preserve"> denotes a vector of additional variables</w:t>
      </w:r>
      <w:r w:rsidR="00E3162D">
        <w:rPr>
          <w:lang w:eastAsia="ko-KR"/>
        </w:rPr>
        <w:t>. In this analysis, the share of trade to GDP is</w:t>
      </w:r>
      <w:r w:rsidR="001E726E">
        <w:rPr>
          <w:lang w:eastAsia="ko-KR"/>
        </w:rPr>
        <w:t xml:space="preserve"> </w:t>
      </w:r>
      <w:r w:rsidR="00E3162D">
        <w:rPr>
          <w:lang w:eastAsia="ko-KR"/>
        </w:rPr>
        <w:t xml:space="preserve">chosen as </w:t>
      </w:r>
      <w:r w:rsidR="007531A2">
        <w:rPr>
          <w:lang w:eastAsia="ko-KR"/>
        </w:rPr>
        <w:t xml:space="preserve">an </w:t>
      </w:r>
      <w:r w:rsidR="00E3162D">
        <w:rPr>
          <w:lang w:eastAsia="ko-KR"/>
        </w:rPr>
        <w:t xml:space="preserve">additional variable considering the adoption history of existing literature. Through the natural logarithm transformation, </w:t>
      </w:r>
      <w:r w:rsidR="007531A2">
        <w:rPr>
          <w:lang w:eastAsia="ko-KR"/>
        </w:rPr>
        <w:t xml:space="preserve">the </w:t>
      </w:r>
      <w:r w:rsidR="00E3162D">
        <w:rPr>
          <w:lang w:eastAsia="ko-KR"/>
        </w:rPr>
        <w:t>following equation is constructed.</w:t>
      </w:r>
    </w:p>
    <w:p w:rsidR="00E3162D" w:rsidRDefault="00E3162D" w:rsidP="00D91F8F">
      <w:pPr>
        <w:ind w:firstLineChars="50" w:firstLine="100"/>
        <w:jc w:val="both"/>
      </w:pPr>
    </w:p>
    <w:p w:rsidR="00E3162D" w:rsidRDefault="00E3162D" w:rsidP="00D91F8F">
      <w:pPr>
        <w:ind w:firstLineChars="50" w:firstLine="120"/>
        <w:jc w:val="both"/>
      </w:pPr>
      <w:r w:rsidRPr="00E3162D">
        <w:rPr>
          <w:color w:val="000000"/>
          <w:kern w:val="2"/>
          <w:position w:val="-12"/>
          <w:sz w:val="24"/>
          <w:szCs w:val="22"/>
          <w:lang w:val="en-US" w:eastAsia="ko-KR"/>
        </w:rPr>
        <w:object w:dxaOrig="4340" w:dyaOrig="400">
          <v:shape id="_x0000_i1030" type="#_x0000_t75" style="width:216.75pt;height:20.25pt" o:ole="">
            <v:imagedata r:id="rId20" o:title=""/>
          </v:shape>
          <o:OLEObject Type="Embed" ProgID="Equation.DSMT4" ShapeID="_x0000_i1030" DrawAspect="Content" ObjectID="_1613850348" r:id="rId21"/>
        </w:object>
      </w:r>
      <w:r>
        <w:rPr>
          <w:color w:val="000000"/>
          <w:kern w:val="2"/>
          <w:sz w:val="24"/>
          <w:szCs w:val="22"/>
          <w:lang w:val="en-US" w:eastAsia="ko-KR"/>
        </w:rPr>
        <w:t xml:space="preserve"> ,</w:t>
      </w:r>
      <w:r w:rsidRPr="00982C16">
        <w:rPr>
          <w:lang w:eastAsia="ko-KR"/>
        </w:rPr>
        <w:tab/>
      </w:r>
      <w:r w:rsidRPr="00982C16">
        <w:rPr>
          <w:lang w:eastAsia="ko-KR"/>
        </w:rPr>
        <w:tab/>
      </w:r>
      <w:r w:rsidRPr="00982C16">
        <w:rPr>
          <w:lang w:eastAsia="ko-KR"/>
        </w:rPr>
        <w:tab/>
      </w:r>
      <w:r>
        <w:rPr>
          <w:lang w:eastAsia="ko-KR"/>
        </w:rPr>
        <w:tab/>
      </w:r>
      <w:r>
        <w:rPr>
          <w:lang w:eastAsia="ko-KR"/>
        </w:rPr>
        <w:tab/>
      </w:r>
      <w:r>
        <w:rPr>
          <w:lang w:eastAsia="ko-KR"/>
        </w:rPr>
        <w:tab/>
      </w:r>
      <w:r w:rsidRPr="00982C16">
        <w:rPr>
          <w:rFonts w:hint="eastAsia"/>
          <w:lang w:eastAsia="ko-KR"/>
        </w:rPr>
        <w:t>(</w:t>
      </w:r>
      <w:r>
        <w:rPr>
          <w:lang w:eastAsia="ko-KR"/>
        </w:rPr>
        <w:t>2</w:t>
      </w:r>
      <w:r w:rsidRPr="00982C16">
        <w:rPr>
          <w:rFonts w:hint="eastAsia"/>
          <w:lang w:eastAsia="ko-KR"/>
        </w:rPr>
        <w:t>)</w:t>
      </w:r>
    </w:p>
    <w:p w:rsidR="00E3162D" w:rsidRDefault="00E3162D" w:rsidP="00D91F8F">
      <w:pPr>
        <w:ind w:firstLineChars="50" w:firstLine="100"/>
        <w:jc w:val="both"/>
      </w:pPr>
    </w:p>
    <w:p w:rsidR="006D5E73" w:rsidRDefault="000B2F29" w:rsidP="001E726E">
      <w:pPr>
        <w:jc w:val="both"/>
      </w:pPr>
      <w:r>
        <w:t xml:space="preserve">where </w:t>
      </w:r>
      <w:r w:rsidR="001E726E" w:rsidRPr="001E726E">
        <w:rPr>
          <w:position w:val="-4"/>
        </w:rPr>
        <w:object w:dxaOrig="160" w:dyaOrig="220">
          <v:shape id="_x0000_i1031" type="#_x0000_t75" style="width:8.25pt;height:11.25pt" o:ole="">
            <v:imagedata r:id="rId22" o:title=""/>
          </v:shape>
          <o:OLEObject Type="Embed" ProgID="Equation.DSMT4" ShapeID="_x0000_i1031" DrawAspect="Content" ObjectID="_1613850349" r:id="rId23"/>
        </w:object>
      </w:r>
      <w:r w:rsidR="001E726E">
        <w:t xml:space="preserve"> and </w:t>
      </w:r>
      <w:r w:rsidR="001E726E" w:rsidRPr="001E726E">
        <w:rPr>
          <w:position w:val="-6"/>
        </w:rPr>
        <w:object w:dxaOrig="160" w:dyaOrig="220">
          <v:shape id="_x0000_i1032" type="#_x0000_t75" style="width:8.25pt;height:11.25pt" o:ole="">
            <v:imagedata r:id="rId24" o:title=""/>
          </v:shape>
          <o:OLEObject Type="Embed" ProgID="Equation.DSMT4" ShapeID="_x0000_i1032" DrawAspect="Content" ObjectID="_1613850350" r:id="rId25"/>
        </w:object>
      </w:r>
      <w:r w:rsidR="001E726E">
        <w:t xml:space="preserve">indicate cross-section and time-series, respectively. </w:t>
      </w:r>
      <w:r w:rsidR="005B2B47" w:rsidRPr="005B2B47">
        <w:rPr>
          <w:position w:val="-4"/>
        </w:rPr>
        <w:object w:dxaOrig="700" w:dyaOrig="220">
          <v:shape id="_x0000_i1033" type="#_x0000_t75" style="width:35.25pt;height:11.25pt" o:ole="">
            <v:imagedata r:id="rId26" o:title=""/>
          </v:shape>
          <o:OLEObject Type="Embed" ProgID="Equation.DSMT4" ShapeID="_x0000_i1033" DrawAspect="Content" ObjectID="_1613850351" r:id="rId27"/>
        </w:object>
      </w:r>
      <w:r w:rsidR="005B2B47">
        <w:t xml:space="preserve"> is </w:t>
      </w:r>
      <w:r w:rsidR="007531A2">
        <w:t xml:space="preserve">an </w:t>
      </w:r>
      <w:r w:rsidR="005B2B47">
        <w:t xml:space="preserve">additional variable to control </w:t>
      </w:r>
      <w:r w:rsidR="00044C8B">
        <w:t xml:space="preserve">the heterogeneity across </w:t>
      </w:r>
      <w:r w:rsidR="007531A2">
        <w:t xml:space="preserve">the </w:t>
      </w:r>
      <w:r w:rsidR="00044C8B">
        <w:t xml:space="preserve">cross-section. </w:t>
      </w:r>
      <w:r w:rsidR="00044C8B" w:rsidRPr="00044C8B">
        <w:rPr>
          <w:position w:val="-10"/>
        </w:rPr>
        <w:object w:dxaOrig="260" w:dyaOrig="300">
          <v:shape id="_x0000_i1034" type="#_x0000_t75" style="width:12.75pt;height:15pt" o:ole="">
            <v:imagedata r:id="rId28" o:title=""/>
          </v:shape>
          <o:OLEObject Type="Embed" ProgID="Equation.DSMT4" ShapeID="_x0000_i1034" DrawAspect="Content" ObjectID="_1613850352" r:id="rId29"/>
        </w:object>
      </w:r>
      <w:r w:rsidR="00044C8B">
        <w:t xml:space="preserve"> denotes identically independent error term if this equation is estimated well based on stochastic assumption. In case that </w:t>
      </w:r>
      <w:r w:rsidR="00044C8B" w:rsidRPr="00044C8B">
        <w:rPr>
          <w:position w:val="-10"/>
        </w:rPr>
        <w:object w:dxaOrig="240" w:dyaOrig="300">
          <v:shape id="_x0000_i1035" type="#_x0000_t75" style="width:12pt;height:15pt" o:ole="">
            <v:imagedata r:id="rId30" o:title=""/>
          </v:shape>
          <o:OLEObject Type="Embed" ProgID="Equation.DSMT4" ShapeID="_x0000_i1035" DrawAspect="Content" ObjectID="_1613850353" r:id="rId31"/>
        </w:object>
      </w:r>
      <w:r w:rsidR="00044C8B">
        <w:t xml:space="preserve"> is revealed as </w:t>
      </w:r>
      <w:r w:rsidR="007531A2">
        <w:t xml:space="preserve">a </w:t>
      </w:r>
      <w:r w:rsidR="00044C8B">
        <w:t xml:space="preserve">negative value and statistically significant, inverted U-shape curve exists </w:t>
      </w:r>
      <w:r w:rsidR="00AE0D66">
        <w:t xml:space="preserve">between per capita GDP and per capita carbon emissions. However, it is too early to </w:t>
      </w:r>
      <w:r w:rsidR="00AE0D66">
        <w:lastRenderedPageBreak/>
        <w:t xml:space="preserve">say that </w:t>
      </w:r>
      <w:r w:rsidR="007531A2">
        <w:t xml:space="preserve">the </w:t>
      </w:r>
      <w:r w:rsidR="00AE0D66">
        <w:t xml:space="preserve">EKC hypothesis is confirmed. </w:t>
      </w:r>
      <w:r w:rsidR="00AE0D66" w:rsidRPr="00AE0D66">
        <w:rPr>
          <w:position w:val="-10"/>
        </w:rPr>
        <w:object w:dxaOrig="240" w:dyaOrig="300">
          <v:shape id="_x0000_i1036" type="#_x0000_t75" style="width:12pt;height:15pt" o:ole="">
            <v:imagedata r:id="rId32" o:title=""/>
          </v:shape>
          <o:OLEObject Type="Embed" ProgID="Equation.DSMT4" ShapeID="_x0000_i1036" DrawAspect="Content" ObjectID="_1613850354" r:id="rId33"/>
        </w:object>
      </w:r>
      <w:r w:rsidR="00AE0D66">
        <w:t xml:space="preserve"> must be a positive value. </w:t>
      </w:r>
      <w:r w:rsidR="007531A2">
        <w:t xml:space="preserve">The </w:t>
      </w:r>
      <w:r w:rsidR="00AE0D66">
        <w:t xml:space="preserve">EKC exists when maximum point of the curve is positive since per capita GDP cannot be negative. Furthermore, </w:t>
      </w:r>
      <w:r w:rsidR="00AE0D66" w:rsidRPr="00AE0D66">
        <w:rPr>
          <w:position w:val="-10"/>
        </w:rPr>
        <w:object w:dxaOrig="240" w:dyaOrig="300">
          <v:shape id="_x0000_i1037" type="#_x0000_t75" style="width:12pt;height:15pt" o:ole="">
            <v:imagedata r:id="rId32" o:title=""/>
          </v:shape>
          <o:OLEObject Type="Embed" ProgID="Equation.DSMT4" ShapeID="_x0000_i1037" DrawAspect="Content" ObjectID="_1613850355" r:id="rId34"/>
        </w:object>
      </w:r>
      <w:r w:rsidR="00AE0D66">
        <w:t xml:space="preserve"> also presents the scale effect.</w:t>
      </w:r>
    </w:p>
    <w:p w:rsidR="00044C8B" w:rsidRDefault="00AE0D66" w:rsidP="00A5440B">
      <w:pPr>
        <w:ind w:firstLineChars="50" w:firstLine="100"/>
        <w:jc w:val="both"/>
        <w:rPr>
          <w:lang w:eastAsia="ko-KR"/>
        </w:rPr>
      </w:pPr>
      <w:r>
        <w:rPr>
          <w:lang w:eastAsia="ko-KR"/>
        </w:rPr>
        <w:t>However</w:t>
      </w:r>
      <w:r>
        <w:t xml:space="preserve">, </w:t>
      </w:r>
      <w:r w:rsidR="006D5E73">
        <w:t>according to Stern et al. (1996), environmental impact determined by production size and technology varies across panels of countries. Thus,</w:t>
      </w:r>
      <w:r w:rsidR="006D5E73">
        <w:rPr>
          <w:lang w:eastAsia="ko-KR"/>
        </w:rPr>
        <w:t xml:space="preserve"> we conducted pooled regression with degradation intensity data which is free from the mixed scale and technology effect. After then, time series analysis for each country is conducted to estimate EKC for </w:t>
      </w:r>
      <w:r w:rsidR="007531A2">
        <w:rPr>
          <w:lang w:eastAsia="ko-KR"/>
        </w:rPr>
        <w:t xml:space="preserve">a </w:t>
      </w:r>
      <w:r w:rsidR="006D5E73">
        <w:rPr>
          <w:lang w:eastAsia="ko-KR"/>
        </w:rPr>
        <w:t xml:space="preserve">single country. Through the comparative analysis, we identify which model is more plausible and </w:t>
      </w:r>
      <w:r w:rsidR="007531A2">
        <w:rPr>
          <w:lang w:eastAsia="ko-KR"/>
        </w:rPr>
        <w:t>f</w:t>
      </w:r>
      <w:r w:rsidR="00A5440B">
        <w:rPr>
          <w:lang w:eastAsia="ko-KR"/>
        </w:rPr>
        <w:t xml:space="preserve">rom the estimated EKC for each country, the determinants of turning point </w:t>
      </w:r>
      <w:r w:rsidR="007531A2">
        <w:rPr>
          <w:lang w:eastAsia="ko-KR"/>
        </w:rPr>
        <w:t>are</w:t>
      </w:r>
      <w:r w:rsidR="00A5440B">
        <w:rPr>
          <w:lang w:eastAsia="ko-KR"/>
        </w:rPr>
        <w:t xml:space="preserve"> investigated.</w:t>
      </w:r>
    </w:p>
    <w:p w:rsidR="00D91F8F" w:rsidRDefault="00D91F8F" w:rsidP="001E726E">
      <w:pPr>
        <w:jc w:val="both"/>
        <w:rPr>
          <w:rFonts w:hint="eastAsia"/>
          <w:lang w:eastAsia="ko-KR"/>
        </w:rPr>
      </w:pPr>
    </w:p>
    <w:p w:rsidR="00DC69F1" w:rsidRDefault="00DC69F1" w:rsidP="00982C16">
      <w:pPr>
        <w:pStyle w:val="2"/>
        <w:rPr>
          <w:i w:val="0"/>
          <w:sz w:val="24"/>
          <w:szCs w:val="24"/>
        </w:rPr>
      </w:pPr>
      <w:r w:rsidRPr="00D767DA">
        <w:rPr>
          <w:i w:val="0"/>
          <w:sz w:val="24"/>
          <w:szCs w:val="24"/>
        </w:rPr>
        <w:t>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3186"/>
        <w:gridCol w:w="3186"/>
      </w:tblGrid>
      <w:tr w:rsidR="00307888" w:rsidTr="00337776">
        <w:tc>
          <w:tcPr>
            <w:tcW w:w="3186" w:type="dxa"/>
            <w:vMerge w:val="restart"/>
            <w:shd w:val="clear" w:color="auto" w:fill="auto"/>
            <w:vAlign w:val="center"/>
          </w:tcPr>
          <w:p w:rsidR="00307888" w:rsidRDefault="00307888" w:rsidP="00337776">
            <w:pPr>
              <w:jc w:val="both"/>
              <w:rPr>
                <w:rFonts w:hint="eastAsia"/>
                <w:lang w:eastAsia="ko-KR"/>
              </w:rPr>
            </w:pPr>
            <w:r>
              <w:rPr>
                <w:lang w:eastAsia="ko-KR"/>
              </w:rPr>
              <w:t>Variables</w:t>
            </w:r>
          </w:p>
        </w:tc>
        <w:tc>
          <w:tcPr>
            <w:tcW w:w="3186" w:type="dxa"/>
            <w:shd w:val="clear" w:color="auto" w:fill="auto"/>
            <w:vAlign w:val="center"/>
          </w:tcPr>
          <w:p w:rsidR="00307888" w:rsidRDefault="00307888" w:rsidP="00337776">
            <w:pPr>
              <w:jc w:val="center"/>
              <w:rPr>
                <w:lang w:eastAsia="ko-KR"/>
              </w:rPr>
            </w:pPr>
            <w:r>
              <w:rPr>
                <w:rFonts w:hint="eastAsia"/>
                <w:lang w:eastAsia="ko-KR"/>
              </w:rPr>
              <w:t>F</w:t>
            </w:r>
            <w:r>
              <w:rPr>
                <w:lang w:eastAsia="ko-KR"/>
              </w:rPr>
              <w:t>MOLS</w:t>
            </w:r>
          </w:p>
        </w:tc>
        <w:tc>
          <w:tcPr>
            <w:tcW w:w="3186" w:type="dxa"/>
            <w:shd w:val="clear" w:color="auto" w:fill="auto"/>
            <w:vAlign w:val="center"/>
          </w:tcPr>
          <w:p w:rsidR="00307888" w:rsidRDefault="00307888" w:rsidP="00337776">
            <w:pPr>
              <w:jc w:val="center"/>
              <w:rPr>
                <w:lang w:eastAsia="ko-KR"/>
              </w:rPr>
            </w:pPr>
            <w:r>
              <w:rPr>
                <w:rFonts w:hint="eastAsia"/>
                <w:lang w:eastAsia="ko-KR"/>
              </w:rPr>
              <w:t>D</w:t>
            </w:r>
            <w:r>
              <w:rPr>
                <w:lang w:eastAsia="ko-KR"/>
              </w:rPr>
              <w:t>OLS</w:t>
            </w:r>
          </w:p>
        </w:tc>
      </w:tr>
      <w:tr w:rsidR="00307888" w:rsidTr="00337776">
        <w:tc>
          <w:tcPr>
            <w:tcW w:w="3186" w:type="dxa"/>
            <w:vMerge/>
            <w:shd w:val="clear" w:color="auto" w:fill="auto"/>
            <w:vAlign w:val="center"/>
          </w:tcPr>
          <w:p w:rsidR="00307888" w:rsidRDefault="00307888" w:rsidP="00337776">
            <w:pPr>
              <w:jc w:val="both"/>
              <w:rPr>
                <w:lang w:eastAsia="ko-KR"/>
              </w:rPr>
            </w:pPr>
          </w:p>
        </w:tc>
        <w:tc>
          <w:tcPr>
            <w:tcW w:w="3186" w:type="dxa"/>
            <w:shd w:val="clear" w:color="auto" w:fill="auto"/>
            <w:vAlign w:val="center"/>
          </w:tcPr>
          <w:p w:rsidR="00307888" w:rsidRDefault="00307888" w:rsidP="00337776">
            <w:pPr>
              <w:jc w:val="center"/>
              <w:rPr>
                <w:lang w:eastAsia="ko-KR"/>
              </w:rPr>
            </w:pPr>
            <w:r>
              <w:rPr>
                <w:rFonts w:hint="eastAsia"/>
                <w:lang w:eastAsia="ko-KR"/>
              </w:rPr>
              <w:t>C</w:t>
            </w:r>
            <w:r>
              <w:rPr>
                <w:lang w:eastAsia="ko-KR"/>
              </w:rPr>
              <w:t>oefficient (P-value)</w:t>
            </w:r>
          </w:p>
        </w:tc>
        <w:tc>
          <w:tcPr>
            <w:tcW w:w="3186" w:type="dxa"/>
            <w:shd w:val="clear" w:color="auto" w:fill="auto"/>
            <w:vAlign w:val="center"/>
          </w:tcPr>
          <w:p w:rsidR="00307888" w:rsidRDefault="00307888" w:rsidP="00337776">
            <w:pPr>
              <w:jc w:val="center"/>
              <w:rPr>
                <w:lang w:eastAsia="ko-KR"/>
              </w:rPr>
            </w:pPr>
            <w:r>
              <w:rPr>
                <w:rFonts w:hint="eastAsia"/>
                <w:lang w:eastAsia="ko-KR"/>
              </w:rPr>
              <w:t>C</w:t>
            </w:r>
            <w:r>
              <w:rPr>
                <w:lang w:eastAsia="ko-KR"/>
              </w:rPr>
              <w:t>oefficient (P-value)</w:t>
            </w:r>
          </w:p>
        </w:tc>
      </w:tr>
      <w:tr w:rsidR="00307888" w:rsidTr="00337776">
        <w:tc>
          <w:tcPr>
            <w:tcW w:w="3186" w:type="dxa"/>
            <w:shd w:val="clear" w:color="auto" w:fill="auto"/>
            <w:vAlign w:val="center"/>
          </w:tcPr>
          <w:p w:rsidR="00307888" w:rsidRDefault="00307888" w:rsidP="00337776">
            <w:pPr>
              <w:jc w:val="both"/>
              <w:rPr>
                <w:lang w:eastAsia="ko-KR"/>
              </w:rPr>
            </w:pPr>
            <w:r>
              <w:rPr>
                <w:rFonts w:hint="eastAsia"/>
                <w:lang w:eastAsia="ko-KR"/>
              </w:rPr>
              <w:t>G</w:t>
            </w:r>
            <w:r>
              <w:rPr>
                <w:lang w:eastAsia="ko-KR"/>
              </w:rPr>
              <w:t>DP</w:t>
            </w:r>
          </w:p>
        </w:tc>
        <w:tc>
          <w:tcPr>
            <w:tcW w:w="3186" w:type="dxa"/>
            <w:shd w:val="clear" w:color="auto" w:fill="auto"/>
            <w:vAlign w:val="center"/>
          </w:tcPr>
          <w:p w:rsidR="00307888" w:rsidRDefault="00307888" w:rsidP="00337776">
            <w:pPr>
              <w:jc w:val="center"/>
              <w:rPr>
                <w:lang w:eastAsia="ko-KR"/>
              </w:rPr>
            </w:pPr>
            <w:r>
              <w:rPr>
                <w:rFonts w:hint="eastAsia"/>
                <w:lang w:eastAsia="ko-KR"/>
              </w:rPr>
              <w:t>9</w:t>
            </w:r>
            <w:r>
              <w:rPr>
                <w:lang w:eastAsia="ko-KR"/>
              </w:rPr>
              <w:t>.6699 (0.0000)</w:t>
            </w:r>
            <w:r w:rsidRPr="00337776">
              <w:rPr>
                <w:vertAlign w:val="superscript"/>
                <w:lang w:eastAsia="ko-KR"/>
              </w:rPr>
              <w:t xml:space="preserve"> c</w:t>
            </w:r>
          </w:p>
        </w:tc>
        <w:tc>
          <w:tcPr>
            <w:tcW w:w="3186" w:type="dxa"/>
            <w:shd w:val="clear" w:color="auto" w:fill="auto"/>
            <w:vAlign w:val="center"/>
          </w:tcPr>
          <w:p w:rsidR="00307888" w:rsidRDefault="00307888" w:rsidP="00337776">
            <w:pPr>
              <w:jc w:val="center"/>
              <w:rPr>
                <w:lang w:eastAsia="ko-KR"/>
              </w:rPr>
            </w:pPr>
            <w:r>
              <w:rPr>
                <w:rFonts w:hint="eastAsia"/>
                <w:lang w:eastAsia="ko-KR"/>
              </w:rPr>
              <w:t>1</w:t>
            </w:r>
            <w:r>
              <w:rPr>
                <w:lang w:eastAsia="ko-KR"/>
              </w:rPr>
              <w:t>2.2116 (0.0000)</w:t>
            </w:r>
            <w:r w:rsidRPr="00337776">
              <w:rPr>
                <w:vertAlign w:val="superscript"/>
                <w:lang w:eastAsia="ko-KR"/>
              </w:rPr>
              <w:t xml:space="preserve"> c</w:t>
            </w:r>
          </w:p>
        </w:tc>
      </w:tr>
      <w:tr w:rsidR="00307888" w:rsidTr="00337776">
        <w:tc>
          <w:tcPr>
            <w:tcW w:w="3186" w:type="dxa"/>
            <w:shd w:val="clear" w:color="auto" w:fill="auto"/>
            <w:vAlign w:val="center"/>
          </w:tcPr>
          <w:p w:rsidR="00307888" w:rsidRDefault="00307888" w:rsidP="00337776">
            <w:pPr>
              <w:jc w:val="both"/>
              <w:rPr>
                <w:lang w:eastAsia="ko-KR"/>
              </w:rPr>
            </w:pPr>
            <w:r>
              <w:rPr>
                <w:rFonts w:hint="eastAsia"/>
                <w:lang w:eastAsia="ko-KR"/>
              </w:rPr>
              <w:t>Q</w:t>
            </w:r>
            <w:r>
              <w:rPr>
                <w:lang w:eastAsia="ko-KR"/>
              </w:rPr>
              <w:t>uadratic GDP</w:t>
            </w:r>
          </w:p>
        </w:tc>
        <w:tc>
          <w:tcPr>
            <w:tcW w:w="3186" w:type="dxa"/>
            <w:shd w:val="clear" w:color="auto" w:fill="auto"/>
            <w:vAlign w:val="center"/>
          </w:tcPr>
          <w:p w:rsidR="00307888" w:rsidRDefault="00307888" w:rsidP="00337776">
            <w:pPr>
              <w:jc w:val="center"/>
              <w:rPr>
                <w:lang w:eastAsia="ko-KR"/>
              </w:rPr>
            </w:pPr>
            <w:r>
              <w:rPr>
                <w:rFonts w:hint="eastAsia"/>
                <w:lang w:eastAsia="ko-KR"/>
              </w:rPr>
              <w:t>-</w:t>
            </w:r>
            <w:r>
              <w:rPr>
                <w:lang w:eastAsia="ko-KR"/>
              </w:rPr>
              <w:t>0.4609 (0.0000)</w:t>
            </w:r>
            <w:r w:rsidRPr="00337776">
              <w:rPr>
                <w:vertAlign w:val="superscript"/>
                <w:lang w:eastAsia="ko-KR"/>
              </w:rPr>
              <w:t xml:space="preserve"> c</w:t>
            </w:r>
          </w:p>
        </w:tc>
        <w:tc>
          <w:tcPr>
            <w:tcW w:w="3186" w:type="dxa"/>
            <w:shd w:val="clear" w:color="auto" w:fill="auto"/>
            <w:vAlign w:val="center"/>
          </w:tcPr>
          <w:p w:rsidR="00307888" w:rsidRDefault="00307888" w:rsidP="00337776">
            <w:pPr>
              <w:jc w:val="center"/>
              <w:rPr>
                <w:lang w:eastAsia="ko-KR"/>
              </w:rPr>
            </w:pPr>
            <w:r>
              <w:rPr>
                <w:rFonts w:hint="eastAsia"/>
                <w:lang w:eastAsia="ko-KR"/>
              </w:rPr>
              <w:t>-</w:t>
            </w:r>
            <w:r>
              <w:rPr>
                <w:lang w:eastAsia="ko-KR"/>
              </w:rPr>
              <w:t>0.5871 (0.0000)</w:t>
            </w:r>
            <w:r w:rsidRPr="00337776">
              <w:rPr>
                <w:vertAlign w:val="superscript"/>
                <w:lang w:eastAsia="ko-KR"/>
              </w:rPr>
              <w:t xml:space="preserve"> c</w:t>
            </w:r>
          </w:p>
        </w:tc>
      </w:tr>
      <w:tr w:rsidR="00307888" w:rsidTr="00337776">
        <w:tc>
          <w:tcPr>
            <w:tcW w:w="3186" w:type="dxa"/>
            <w:shd w:val="clear" w:color="auto" w:fill="auto"/>
            <w:vAlign w:val="center"/>
          </w:tcPr>
          <w:p w:rsidR="00307888" w:rsidRDefault="00307888" w:rsidP="00337776">
            <w:pPr>
              <w:jc w:val="both"/>
              <w:rPr>
                <w:lang w:eastAsia="ko-KR"/>
              </w:rPr>
            </w:pPr>
            <w:r>
              <w:rPr>
                <w:rFonts w:hint="eastAsia"/>
                <w:lang w:eastAsia="ko-KR"/>
              </w:rPr>
              <w:t>T</w:t>
            </w:r>
            <w:r>
              <w:rPr>
                <w:lang w:eastAsia="ko-KR"/>
              </w:rPr>
              <w:t>rade</w:t>
            </w:r>
          </w:p>
        </w:tc>
        <w:tc>
          <w:tcPr>
            <w:tcW w:w="3186" w:type="dxa"/>
            <w:shd w:val="clear" w:color="auto" w:fill="auto"/>
            <w:vAlign w:val="center"/>
          </w:tcPr>
          <w:p w:rsidR="00307888" w:rsidRDefault="00307888" w:rsidP="00337776">
            <w:pPr>
              <w:jc w:val="center"/>
              <w:rPr>
                <w:lang w:eastAsia="ko-KR"/>
              </w:rPr>
            </w:pPr>
            <w:r>
              <w:rPr>
                <w:rFonts w:hint="eastAsia"/>
                <w:lang w:eastAsia="ko-KR"/>
              </w:rPr>
              <w:t>-</w:t>
            </w:r>
            <w:r>
              <w:rPr>
                <w:lang w:eastAsia="ko-KR"/>
              </w:rPr>
              <w:t>0.2357 (0.0000)</w:t>
            </w:r>
            <w:r w:rsidRPr="00337776">
              <w:rPr>
                <w:vertAlign w:val="superscript"/>
                <w:lang w:eastAsia="ko-KR"/>
              </w:rPr>
              <w:t xml:space="preserve"> c</w:t>
            </w:r>
          </w:p>
        </w:tc>
        <w:tc>
          <w:tcPr>
            <w:tcW w:w="3186" w:type="dxa"/>
            <w:shd w:val="clear" w:color="auto" w:fill="auto"/>
            <w:vAlign w:val="center"/>
          </w:tcPr>
          <w:p w:rsidR="00307888" w:rsidRDefault="00307888" w:rsidP="00337776">
            <w:pPr>
              <w:jc w:val="center"/>
              <w:rPr>
                <w:lang w:eastAsia="ko-KR"/>
              </w:rPr>
            </w:pPr>
            <w:r>
              <w:rPr>
                <w:rFonts w:hint="eastAsia"/>
                <w:lang w:eastAsia="ko-KR"/>
              </w:rPr>
              <w:t>-</w:t>
            </w:r>
            <w:r>
              <w:rPr>
                <w:lang w:eastAsia="ko-KR"/>
              </w:rPr>
              <w:t>0.2165 (0.0006)</w:t>
            </w:r>
            <w:r w:rsidRPr="00337776">
              <w:rPr>
                <w:vertAlign w:val="superscript"/>
                <w:lang w:eastAsia="ko-KR"/>
              </w:rPr>
              <w:t xml:space="preserve"> c</w:t>
            </w:r>
          </w:p>
        </w:tc>
      </w:tr>
      <w:tr w:rsidR="00307888" w:rsidTr="00337776">
        <w:tc>
          <w:tcPr>
            <w:tcW w:w="3186" w:type="dxa"/>
            <w:shd w:val="clear" w:color="auto" w:fill="auto"/>
            <w:vAlign w:val="center"/>
          </w:tcPr>
          <w:p w:rsidR="00307888" w:rsidRDefault="00307888" w:rsidP="00337776">
            <w:pPr>
              <w:jc w:val="both"/>
              <w:rPr>
                <w:lang w:eastAsia="ko-KR"/>
              </w:rPr>
            </w:pPr>
            <w:r>
              <w:rPr>
                <w:lang w:eastAsia="ko-KR"/>
              </w:rPr>
              <w:t>Adjusted R-squared</w:t>
            </w:r>
          </w:p>
        </w:tc>
        <w:tc>
          <w:tcPr>
            <w:tcW w:w="3186" w:type="dxa"/>
            <w:shd w:val="clear" w:color="auto" w:fill="auto"/>
            <w:vAlign w:val="center"/>
          </w:tcPr>
          <w:p w:rsidR="00307888" w:rsidRDefault="00307888" w:rsidP="00337776">
            <w:pPr>
              <w:jc w:val="center"/>
              <w:rPr>
                <w:lang w:eastAsia="ko-KR"/>
              </w:rPr>
            </w:pPr>
            <w:r>
              <w:rPr>
                <w:rFonts w:hint="eastAsia"/>
                <w:lang w:eastAsia="ko-KR"/>
              </w:rPr>
              <w:t>0</w:t>
            </w:r>
            <w:r>
              <w:rPr>
                <w:lang w:eastAsia="ko-KR"/>
              </w:rPr>
              <w:t>.9570</w:t>
            </w:r>
          </w:p>
        </w:tc>
        <w:tc>
          <w:tcPr>
            <w:tcW w:w="3186" w:type="dxa"/>
            <w:shd w:val="clear" w:color="auto" w:fill="auto"/>
            <w:vAlign w:val="center"/>
          </w:tcPr>
          <w:p w:rsidR="00307888" w:rsidRDefault="00307888" w:rsidP="00337776">
            <w:pPr>
              <w:jc w:val="center"/>
              <w:rPr>
                <w:lang w:eastAsia="ko-KR"/>
              </w:rPr>
            </w:pPr>
            <w:r>
              <w:rPr>
                <w:rFonts w:hint="eastAsia"/>
                <w:lang w:eastAsia="ko-KR"/>
              </w:rPr>
              <w:t>0</w:t>
            </w:r>
            <w:r>
              <w:rPr>
                <w:lang w:eastAsia="ko-KR"/>
              </w:rPr>
              <w:t>.9798</w:t>
            </w:r>
          </w:p>
        </w:tc>
      </w:tr>
      <w:tr w:rsidR="00307888" w:rsidTr="00337776">
        <w:tc>
          <w:tcPr>
            <w:tcW w:w="3186" w:type="dxa"/>
            <w:shd w:val="clear" w:color="auto" w:fill="auto"/>
            <w:vAlign w:val="center"/>
          </w:tcPr>
          <w:p w:rsidR="00307888" w:rsidRDefault="00307888" w:rsidP="00337776">
            <w:pPr>
              <w:jc w:val="both"/>
              <w:rPr>
                <w:lang w:eastAsia="ko-KR"/>
              </w:rPr>
            </w:pPr>
            <w:r>
              <w:rPr>
                <w:lang w:eastAsia="ko-KR"/>
              </w:rPr>
              <w:t>Turning point</w:t>
            </w:r>
          </w:p>
        </w:tc>
        <w:tc>
          <w:tcPr>
            <w:tcW w:w="3186" w:type="dxa"/>
            <w:shd w:val="clear" w:color="auto" w:fill="auto"/>
            <w:vAlign w:val="center"/>
          </w:tcPr>
          <w:p w:rsidR="00307888" w:rsidRDefault="00307888" w:rsidP="00337776">
            <w:pPr>
              <w:jc w:val="center"/>
              <w:rPr>
                <w:lang w:eastAsia="ko-KR"/>
              </w:rPr>
            </w:pPr>
            <w:r>
              <w:rPr>
                <w:rFonts w:hint="eastAsia"/>
                <w:lang w:eastAsia="ko-KR"/>
              </w:rPr>
              <w:t>3</w:t>
            </w:r>
            <w:r>
              <w:rPr>
                <w:lang w:eastAsia="ko-KR"/>
              </w:rPr>
              <w:t>5,963 USD</w:t>
            </w:r>
          </w:p>
        </w:tc>
        <w:tc>
          <w:tcPr>
            <w:tcW w:w="3186" w:type="dxa"/>
            <w:shd w:val="clear" w:color="auto" w:fill="auto"/>
            <w:vAlign w:val="center"/>
          </w:tcPr>
          <w:p w:rsidR="00307888" w:rsidRDefault="00307888" w:rsidP="00337776">
            <w:pPr>
              <w:jc w:val="center"/>
              <w:rPr>
                <w:lang w:eastAsia="ko-KR"/>
              </w:rPr>
            </w:pPr>
            <w:r>
              <w:rPr>
                <w:rFonts w:hint="eastAsia"/>
                <w:lang w:eastAsia="ko-KR"/>
              </w:rPr>
              <w:t>3</w:t>
            </w:r>
            <w:r>
              <w:rPr>
                <w:lang w:eastAsia="ko-KR"/>
              </w:rPr>
              <w:t>2,857 USD</w:t>
            </w:r>
          </w:p>
        </w:tc>
      </w:tr>
    </w:tbl>
    <w:p w:rsidR="00582BFF" w:rsidRDefault="00307888" w:rsidP="00307888">
      <w:pPr>
        <w:jc w:val="both"/>
        <w:rPr>
          <w:rFonts w:hint="eastAsia"/>
          <w:lang w:eastAsia="ko-KR"/>
        </w:rPr>
      </w:pPr>
      <w:r>
        <w:rPr>
          <w:rFonts w:hint="eastAsia"/>
          <w:lang w:eastAsia="ko-KR"/>
        </w:rPr>
        <w:t>N</w:t>
      </w:r>
      <w:r>
        <w:rPr>
          <w:lang w:eastAsia="ko-KR"/>
        </w:rPr>
        <w:t>ote: c indicates rejection of the null hypothesis at the 1% significance level.</w:t>
      </w:r>
    </w:p>
    <w:p w:rsidR="00582BFF" w:rsidRDefault="00582BFF" w:rsidP="000C111D">
      <w:pPr>
        <w:ind w:firstLineChars="50" w:firstLine="100"/>
        <w:jc w:val="both"/>
        <w:rPr>
          <w:rFonts w:hint="eastAsia"/>
          <w:lang w:eastAsia="ko-KR"/>
        </w:rPr>
      </w:pPr>
    </w:p>
    <w:p w:rsidR="000F5033" w:rsidRDefault="00A5440B" w:rsidP="000C111D">
      <w:pPr>
        <w:ind w:firstLineChars="50" w:firstLine="100"/>
        <w:jc w:val="both"/>
        <w:rPr>
          <w:lang w:eastAsia="ko-KR"/>
        </w:rPr>
      </w:pPr>
      <w:r>
        <w:rPr>
          <w:lang w:eastAsia="ko-KR"/>
        </w:rPr>
        <w:t>The long-run equilibrium relationship among variables is confirmed. As a result of cointegr</w:t>
      </w:r>
      <w:r w:rsidR="00C76423">
        <w:rPr>
          <w:lang w:eastAsia="ko-KR"/>
        </w:rPr>
        <w:t>at</w:t>
      </w:r>
      <w:r>
        <w:rPr>
          <w:lang w:eastAsia="ko-KR"/>
        </w:rPr>
        <w:t xml:space="preserve">ing equation estimation, </w:t>
      </w:r>
      <w:r w:rsidR="007531A2">
        <w:rPr>
          <w:lang w:eastAsia="ko-KR"/>
        </w:rPr>
        <w:t xml:space="preserve">the </w:t>
      </w:r>
      <w:r>
        <w:rPr>
          <w:lang w:eastAsia="ko-KR"/>
        </w:rPr>
        <w:t xml:space="preserve">EKC hypothesis is confirmed with high </w:t>
      </w:r>
      <w:r w:rsidR="000C111D">
        <w:rPr>
          <w:lang w:eastAsia="ko-KR"/>
        </w:rPr>
        <w:t xml:space="preserve">statistical significance. </w:t>
      </w:r>
      <w:r>
        <w:rPr>
          <w:lang w:eastAsia="ko-KR"/>
        </w:rPr>
        <w:t>F</w:t>
      </w:r>
      <w:r w:rsidR="00C76423">
        <w:rPr>
          <w:lang w:eastAsia="ko-KR"/>
        </w:rPr>
        <w:t>or the</w:t>
      </w:r>
      <w:r>
        <w:rPr>
          <w:lang w:eastAsia="ko-KR"/>
        </w:rPr>
        <w:t xml:space="preserve"> comparative analysis, both results are statistically significant. The turning point is well estimated which is not greatly different from the results of time-series analysis. </w:t>
      </w:r>
      <w:r w:rsidR="007531A2">
        <w:rPr>
          <w:lang w:eastAsia="ko-KR"/>
        </w:rPr>
        <w:t>The t</w:t>
      </w:r>
      <w:r>
        <w:rPr>
          <w:lang w:eastAsia="ko-KR"/>
        </w:rPr>
        <w:t xml:space="preserve">urning point is strongly related to the size of </w:t>
      </w:r>
      <w:r w:rsidR="007531A2">
        <w:rPr>
          <w:lang w:eastAsia="ko-KR"/>
        </w:rPr>
        <w:t xml:space="preserve">the </w:t>
      </w:r>
      <w:r>
        <w:rPr>
          <w:lang w:eastAsia="ko-KR"/>
        </w:rPr>
        <w:t>country and the speed of growth.</w:t>
      </w:r>
    </w:p>
    <w:p w:rsidR="00DC69F1" w:rsidRDefault="00DC69F1" w:rsidP="00982C16">
      <w:pPr>
        <w:pStyle w:val="2"/>
        <w:jc w:val="both"/>
        <w:rPr>
          <w:i w:val="0"/>
          <w:sz w:val="24"/>
          <w:szCs w:val="24"/>
        </w:rPr>
      </w:pPr>
      <w:r w:rsidRPr="00D767DA">
        <w:rPr>
          <w:i w:val="0"/>
          <w:sz w:val="24"/>
          <w:szCs w:val="24"/>
        </w:rPr>
        <w:t>Conclusions</w:t>
      </w:r>
    </w:p>
    <w:p w:rsidR="000F5033" w:rsidRPr="00207FA1" w:rsidRDefault="00C76423" w:rsidP="000F5033">
      <w:pPr>
        <w:ind w:firstLineChars="50" w:firstLine="100"/>
        <w:jc w:val="both"/>
        <w:rPr>
          <w:rFonts w:hint="eastAsia"/>
          <w:lang w:eastAsia="ko-KR"/>
        </w:rPr>
      </w:pPr>
      <w:r>
        <w:rPr>
          <w:lang w:eastAsia="ko-KR"/>
        </w:rPr>
        <w:t xml:space="preserve">We suggest two purposes of this study. One is to conduct </w:t>
      </w:r>
      <w:r w:rsidR="007531A2">
        <w:rPr>
          <w:lang w:eastAsia="ko-KR"/>
        </w:rPr>
        <w:t xml:space="preserve">a </w:t>
      </w:r>
      <w:r>
        <w:rPr>
          <w:lang w:eastAsia="ko-KR"/>
        </w:rPr>
        <w:t xml:space="preserve">comparative analysis of two methods to estimate EKC. The other is to make policy implication for developing countries using the investigated determinants of </w:t>
      </w:r>
      <w:r w:rsidR="007531A2">
        <w:rPr>
          <w:lang w:eastAsia="ko-KR"/>
        </w:rPr>
        <w:t xml:space="preserve">a </w:t>
      </w:r>
      <w:r>
        <w:rPr>
          <w:lang w:eastAsia="ko-KR"/>
        </w:rPr>
        <w:t>turning point in the robust framework. The empirical results of both model</w:t>
      </w:r>
      <w:r w:rsidR="007531A2">
        <w:rPr>
          <w:lang w:eastAsia="ko-KR"/>
        </w:rPr>
        <w:t>s</w:t>
      </w:r>
      <w:r>
        <w:rPr>
          <w:lang w:eastAsia="ko-KR"/>
        </w:rPr>
        <w:t xml:space="preserve"> are statistically significant enough to be utilized as reference data for developing countries. The estimated turning point is about 35,963 USD. This implies that some of developing countries have not yet reached the turning point. Considering the turning points are different depending on country and strongly related to the size and the speed of growth, individual policy implications are necessary. </w:t>
      </w:r>
      <w:r w:rsidR="009B3B2B">
        <w:rPr>
          <w:lang w:eastAsia="ko-KR"/>
        </w:rPr>
        <w:t xml:space="preserve">The infrastructure and geopolitical condition must be considered. In the additional analysis for policy implication, STIRPAT analysis, it is definite that </w:t>
      </w:r>
      <w:r w:rsidR="009B3B2B">
        <w:rPr>
          <w:rFonts w:hint="eastAsia"/>
          <w:lang w:eastAsia="ko-KR"/>
        </w:rPr>
        <w:t>f</w:t>
      </w:r>
      <w:r w:rsidR="009B3B2B">
        <w:rPr>
          <w:lang w:eastAsia="ko-KR"/>
        </w:rPr>
        <w:t xml:space="preserve">ossil fuel usage has quite </w:t>
      </w:r>
      <w:r w:rsidR="007531A2">
        <w:rPr>
          <w:lang w:eastAsia="ko-KR"/>
        </w:rPr>
        <w:t xml:space="preserve">a </w:t>
      </w:r>
      <w:r w:rsidR="009B3B2B">
        <w:rPr>
          <w:lang w:eastAsia="ko-KR"/>
        </w:rPr>
        <w:t xml:space="preserve">positive impact on carbon emissions, while renewable energy affects carbon mitigation relatively small. Therefore, developing countries must start </w:t>
      </w:r>
      <w:r w:rsidR="007531A2">
        <w:rPr>
          <w:lang w:eastAsia="ko-KR"/>
        </w:rPr>
        <w:t xml:space="preserve">by </w:t>
      </w:r>
      <w:r w:rsidR="009B3B2B">
        <w:rPr>
          <w:lang w:eastAsia="ko-KR"/>
        </w:rPr>
        <w:t xml:space="preserve">reducing fossil fuel usage. In this context, technology transfer of the Paris agreement may help developing </w:t>
      </w:r>
      <w:proofErr w:type="gramStart"/>
      <w:r w:rsidR="009B3B2B">
        <w:rPr>
          <w:lang w:eastAsia="ko-KR"/>
        </w:rPr>
        <w:t>countries  switching</w:t>
      </w:r>
      <w:proofErr w:type="gramEnd"/>
      <w:r w:rsidR="009B3B2B">
        <w:rPr>
          <w:lang w:eastAsia="ko-KR"/>
        </w:rPr>
        <w:t xml:space="preserve"> their energy sources.</w:t>
      </w:r>
    </w:p>
    <w:p w:rsidR="00DC69F1" w:rsidRPr="00D767DA" w:rsidRDefault="00DC69F1">
      <w:pPr>
        <w:pStyle w:val="2"/>
        <w:rPr>
          <w:i w:val="0"/>
          <w:sz w:val="24"/>
          <w:szCs w:val="24"/>
        </w:rPr>
      </w:pPr>
      <w:r w:rsidRPr="00D767DA">
        <w:rPr>
          <w:i w:val="0"/>
          <w:sz w:val="24"/>
          <w:szCs w:val="24"/>
        </w:rPr>
        <w:t>References</w:t>
      </w:r>
    </w:p>
    <w:p w:rsidR="00982C16" w:rsidRDefault="00982C16" w:rsidP="006D5E73">
      <w:pPr>
        <w:jc w:val="both"/>
      </w:pPr>
      <w:r>
        <w:rPr>
          <w:lang w:eastAsia="ko-KR"/>
        </w:rPr>
        <w:t>International</w:t>
      </w:r>
      <w:r>
        <w:t xml:space="preserve"> Energy Agency (IEA). 2015, “Energy and Climate Change,” IEA, Paris.</w:t>
      </w:r>
    </w:p>
    <w:p w:rsidR="006D5E73" w:rsidRDefault="006D5E73" w:rsidP="00982C16">
      <w:pPr>
        <w:pStyle w:val="20"/>
        <w:spacing w:after="200"/>
        <w:rPr>
          <w:rFonts w:hint="eastAsia"/>
          <w:lang w:eastAsia="ko-KR"/>
        </w:rPr>
      </w:pPr>
      <w:r>
        <w:rPr>
          <w:rFonts w:hint="eastAsia"/>
          <w:lang w:eastAsia="ko-KR"/>
        </w:rPr>
        <w:t>S</w:t>
      </w:r>
      <w:r>
        <w:rPr>
          <w:lang w:eastAsia="ko-KR"/>
        </w:rPr>
        <w:t>tern, D, I., Common, M. S., Barbier, E. B. 1996, “Economic growth and environmental degradation: The environmental Kuznets curve and sustainable development,” World Development, 24(7), pp. 1151-1160.</w:t>
      </w:r>
    </w:p>
    <w:p w:rsidR="00982C16" w:rsidRDefault="00982C16" w:rsidP="00982C16">
      <w:pPr>
        <w:pStyle w:val="2"/>
        <w:rPr>
          <w:i w:val="0"/>
          <w:sz w:val="24"/>
          <w:szCs w:val="24"/>
          <w:lang w:eastAsia="ko-KR"/>
        </w:rPr>
      </w:pPr>
      <w:r>
        <w:rPr>
          <w:rFonts w:hint="eastAsia"/>
          <w:i w:val="0"/>
          <w:sz w:val="24"/>
          <w:szCs w:val="24"/>
          <w:lang w:eastAsia="ko-KR"/>
        </w:rPr>
        <w:t>Acknowledgement</w:t>
      </w:r>
    </w:p>
    <w:p w:rsidR="00EB47E8" w:rsidRPr="00EB47E8" w:rsidRDefault="00EB47E8" w:rsidP="00EB47E8">
      <w:pPr>
        <w:ind w:firstLineChars="50" w:firstLine="100"/>
        <w:jc w:val="both"/>
        <w:rPr>
          <w:rFonts w:hint="eastAsia"/>
          <w:lang w:eastAsia="ko-KR"/>
        </w:rPr>
      </w:pPr>
      <w:r w:rsidRPr="00EB47E8">
        <w:rPr>
          <w:lang w:eastAsia="ko-KR"/>
        </w:rPr>
        <w:t xml:space="preserve">This work was supported by the Human Resources Development </w:t>
      </w:r>
      <w:r w:rsidR="006941DC">
        <w:rPr>
          <w:lang w:eastAsia="ko-KR"/>
        </w:rPr>
        <w:t>P</w:t>
      </w:r>
      <w:r w:rsidRPr="00EB47E8">
        <w:rPr>
          <w:lang w:eastAsia="ko-KR"/>
        </w:rPr>
        <w:t>rogram</w:t>
      </w:r>
      <w:r w:rsidR="006941DC">
        <w:rPr>
          <w:lang w:eastAsia="ko-KR"/>
        </w:rPr>
        <w:t xml:space="preserve"> </w:t>
      </w:r>
      <w:r w:rsidRPr="00EB47E8">
        <w:rPr>
          <w:lang w:eastAsia="ko-KR"/>
        </w:rPr>
        <w:t>(No. 201</w:t>
      </w:r>
      <w:r w:rsidR="00E25F49">
        <w:rPr>
          <w:lang w:eastAsia="ko-KR"/>
        </w:rPr>
        <w:t>9401020186</w:t>
      </w:r>
      <w:r w:rsidRPr="00EB47E8">
        <w:rPr>
          <w:lang w:eastAsia="ko-KR"/>
        </w:rPr>
        <w:t>0) of the Korea Institute of Energy Technology Evaluation and Planning</w:t>
      </w:r>
      <w:r w:rsidR="006941DC">
        <w:rPr>
          <w:lang w:eastAsia="ko-KR"/>
        </w:rPr>
        <w:t xml:space="preserve"> </w:t>
      </w:r>
      <w:r w:rsidRPr="00EB47E8">
        <w:rPr>
          <w:lang w:eastAsia="ko-KR"/>
        </w:rPr>
        <w:t>(KETEP) grant funded by the Korea government Ministry of Trade, Industry and Energy.</w:t>
      </w:r>
    </w:p>
    <w:sectPr w:rsidR="00EB47E8" w:rsidRPr="00EB47E8" w:rsidSect="00FC73E0">
      <w:headerReference w:type="first" r:id="rId35"/>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3CE" w:rsidRDefault="00E113CE">
      <w:r>
        <w:separator/>
      </w:r>
    </w:p>
  </w:endnote>
  <w:endnote w:type="continuationSeparator" w:id="0">
    <w:p w:rsidR="00E113CE" w:rsidRDefault="00E1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3CE" w:rsidRDefault="00E113CE">
      <w:r>
        <w:separator/>
      </w:r>
    </w:p>
  </w:footnote>
  <w:footnote w:type="continuationSeparator" w:id="0">
    <w:p w:rsidR="00E113CE" w:rsidRDefault="00E11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112" w:rsidRDefault="005A5112" w:rsidP="00DC69F1">
    <w:pPr>
      <w:pStyle w:val="a4"/>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start w:val="1"/>
      <w:numFmt w:val="lowerRoman"/>
      <w:lvlText w:val="%1.)"/>
      <w:lvlJc w:val="left"/>
      <w:pPr>
        <w:tabs>
          <w:tab w:val="num" w:pos="720"/>
        </w:tabs>
        <w:ind w:left="435" w:hanging="435"/>
      </w:pPr>
      <w:rPr>
        <w:rFonts w:hint="default"/>
      </w:rPr>
    </w:lvl>
    <w:lvl w:ilvl="1">
      <w:start w:val="8"/>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start w:val="1"/>
      <w:numFmt w:val="lowerRoman"/>
      <w:lvlText w:val="%1.)"/>
      <w:lvlJc w:val="left"/>
      <w:pPr>
        <w:tabs>
          <w:tab w:val="num" w:pos="720"/>
        </w:tabs>
        <w:ind w:left="43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start w:val="1"/>
      <w:numFmt w:val="decimal"/>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start w:val="1"/>
      <w:numFmt w:val="decimal"/>
      <w:pStyle w:val="References"/>
      <w:lvlText w:val="%1."/>
      <w:lvlJc w:val="left"/>
      <w:pPr>
        <w:tabs>
          <w:tab w:val="num" w:pos="360"/>
        </w:tabs>
        <w:ind w:left="360" w:hanging="360"/>
      </w:pPr>
      <w:rPr>
        <w:rFonts w:hint="default"/>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M3NzEzMrc0sjQwtLRU0lEKTi0uzszPAykwrAUAan6tuiwAAAA="/>
  </w:docVars>
  <w:rsids>
    <w:rsidRoot w:val="00FA23DE"/>
    <w:rsid w:val="00044C8B"/>
    <w:rsid w:val="00067C1F"/>
    <w:rsid w:val="00077BA5"/>
    <w:rsid w:val="000B2F29"/>
    <w:rsid w:val="000B41AB"/>
    <w:rsid w:val="000C0A0D"/>
    <w:rsid w:val="000C111D"/>
    <w:rsid w:val="000C2499"/>
    <w:rsid w:val="000E68C9"/>
    <w:rsid w:val="000F5033"/>
    <w:rsid w:val="001511E7"/>
    <w:rsid w:val="001E726E"/>
    <w:rsid w:val="00307888"/>
    <w:rsid w:val="003323EB"/>
    <w:rsid w:val="00337776"/>
    <w:rsid w:val="00341CCB"/>
    <w:rsid w:val="0035597E"/>
    <w:rsid w:val="003772A0"/>
    <w:rsid w:val="00395D13"/>
    <w:rsid w:val="0041131E"/>
    <w:rsid w:val="004A675F"/>
    <w:rsid w:val="004C048E"/>
    <w:rsid w:val="00572E1C"/>
    <w:rsid w:val="00582BFF"/>
    <w:rsid w:val="0059173E"/>
    <w:rsid w:val="00595D7E"/>
    <w:rsid w:val="005A5112"/>
    <w:rsid w:val="005B2B47"/>
    <w:rsid w:val="0061716C"/>
    <w:rsid w:val="00662D48"/>
    <w:rsid w:val="006941DC"/>
    <w:rsid w:val="006B499E"/>
    <w:rsid w:val="006C13F2"/>
    <w:rsid w:val="006D5E73"/>
    <w:rsid w:val="006F1415"/>
    <w:rsid w:val="00743040"/>
    <w:rsid w:val="007531A2"/>
    <w:rsid w:val="00781D34"/>
    <w:rsid w:val="007C1BDA"/>
    <w:rsid w:val="00871723"/>
    <w:rsid w:val="008A13E9"/>
    <w:rsid w:val="008B7D8B"/>
    <w:rsid w:val="008E210E"/>
    <w:rsid w:val="009306A1"/>
    <w:rsid w:val="00967798"/>
    <w:rsid w:val="00982C16"/>
    <w:rsid w:val="009854A6"/>
    <w:rsid w:val="009B3B2B"/>
    <w:rsid w:val="009B581D"/>
    <w:rsid w:val="00A5440B"/>
    <w:rsid w:val="00A96D21"/>
    <w:rsid w:val="00AD5E25"/>
    <w:rsid w:val="00AE0D66"/>
    <w:rsid w:val="00B02B7D"/>
    <w:rsid w:val="00B15E15"/>
    <w:rsid w:val="00B34533"/>
    <w:rsid w:val="00BC68E4"/>
    <w:rsid w:val="00BD1755"/>
    <w:rsid w:val="00C60C6D"/>
    <w:rsid w:val="00C76423"/>
    <w:rsid w:val="00CA0507"/>
    <w:rsid w:val="00D34107"/>
    <w:rsid w:val="00D351D8"/>
    <w:rsid w:val="00D569CE"/>
    <w:rsid w:val="00D91F8F"/>
    <w:rsid w:val="00DC69F1"/>
    <w:rsid w:val="00E046B2"/>
    <w:rsid w:val="00E113CE"/>
    <w:rsid w:val="00E25F49"/>
    <w:rsid w:val="00E3162D"/>
    <w:rsid w:val="00E9636B"/>
    <w:rsid w:val="00EB47E8"/>
    <w:rsid w:val="00EE5954"/>
    <w:rsid w:val="00F054DE"/>
    <w:rsid w:val="00F10EA9"/>
    <w:rsid w:val="00F344CF"/>
    <w:rsid w:val="00F92C32"/>
    <w:rsid w:val="00FC73E0"/>
    <w:rsid w:val="00FE1E76"/>
    <w:rsid w:val="00FF17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F138DED-5DF2-4E6F-BE5A-161B271E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Malgun Gothic" w:hAnsi="Tms Rm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ascii="Times New Roman" w:hAnsi="Times New Roman"/>
      <w:lang w:val="en-GB" w:eastAsia="en-US"/>
    </w:rPr>
  </w:style>
  <w:style w:type="paragraph" w:styleId="1">
    <w:name w:val="heading 1"/>
    <w:basedOn w:val="a"/>
    <w:next w:val="a"/>
    <w:qFormat/>
    <w:pPr>
      <w:keepNext/>
      <w:spacing w:before="240" w:after="60"/>
      <w:outlineLvl w:val="0"/>
    </w:pPr>
    <w:rPr>
      <w:rFonts w:ascii="Arial" w:hAnsi="Arial"/>
      <w:b/>
      <w:sz w:val="28"/>
    </w:rPr>
  </w:style>
  <w:style w:type="paragraph" w:styleId="2">
    <w:name w:val="heading 2"/>
    <w:basedOn w:val="a"/>
    <w:next w:val="a"/>
    <w:qFormat/>
    <w:pPr>
      <w:keepNext/>
      <w:spacing w:before="240" w:after="60"/>
      <w:outlineLvl w:val="1"/>
    </w:pPr>
    <w:rPr>
      <w:rFonts w:ascii="Arial" w:hAnsi="Arial"/>
      <w:b/>
      <w:i/>
      <w:sz w:val="22"/>
    </w:rPr>
  </w:style>
  <w:style w:type="paragraph" w:styleId="3">
    <w:name w:val="heading 3"/>
    <w:basedOn w:val="a"/>
    <w:next w:val="a"/>
    <w:qFormat/>
    <w:pPr>
      <w:keepNext/>
      <w:spacing w:before="240" w:after="60"/>
      <w:outlineLvl w:val="2"/>
    </w:pPr>
    <w:rPr>
      <w:rFonts w:ascii="Arial" w:hAnsi="Arial"/>
      <w:b/>
      <w:bCs/>
    </w:rPr>
  </w:style>
  <w:style w:type="paragraph" w:styleId="4">
    <w:name w:val="heading 4"/>
    <w:basedOn w:val="a"/>
    <w:next w:val="a"/>
    <w:qFormat/>
    <w:pPr>
      <w:keepNext/>
      <w:outlineLvl w:val="3"/>
    </w:pPr>
    <w:rPr>
      <w:rFonts w:ascii="Arial" w:hAnsi="Arial"/>
      <w:snapToGrid w:val="0"/>
      <w:color w:val="000000"/>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320"/>
        <w:tab w:val="right" w:pos="8640"/>
      </w:tabs>
    </w:pPr>
  </w:style>
  <w:style w:type="paragraph" w:styleId="a4">
    <w:name w:val="header"/>
    <w:basedOn w:val="a"/>
    <w:pPr>
      <w:tabs>
        <w:tab w:val="center" w:pos="5400"/>
        <w:tab w:val="right" w:pos="10800"/>
      </w:tabs>
    </w:pPr>
    <w:rPr>
      <w:rFonts w:ascii="Arial" w:hAnsi="Arial"/>
      <w:sz w:val="16"/>
    </w:rPr>
  </w:style>
  <w:style w:type="paragraph" w:styleId="a5">
    <w:name w:val="Title"/>
    <w:basedOn w:val="Number"/>
    <w:next w:val="Author"/>
    <w:qFormat/>
    <w:pPr>
      <w:spacing w:before="0" w:after="0"/>
    </w:pPr>
    <w:rPr>
      <w:b/>
      <w:bCs/>
      <w:sz w:val="22"/>
    </w:rPr>
  </w:style>
  <w:style w:type="paragraph" w:customStyle="1" w:styleId="Number">
    <w:name w:val="Number"/>
    <w:basedOn w:val="a"/>
    <w:next w:val="a5"/>
    <w:pPr>
      <w:spacing w:before="120" w:after="360"/>
    </w:pPr>
    <w:rPr>
      <w:rFonts w:ascii="Arial" w:hAnsi="Arial"/>
      <w:sz w:val="28"/>
    </w:rPr>
  </w:style>
  <w:style w:type="paragraph" w:customStyle="1" w:styleId="Author">
    <w:name w:val="Author"/>
    <w:basedOn w:val="a"/>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a6">
    <w:name w:val="Body Text"/>
    <w:basedOn w:val="a"/>
    <w:rPr>
      <w:sz w:val="22"/>
    </w:rPr>
  </w:style>
  <w:style w:type="paragraph" w:styleId="20">
    <w:name w:val="Body Text 2"/>
    <w:basedOn w:val="a"/>
    <w:pPr>
      <w:jc w:val="both"/>
    </w:pPr>
  </w:style>
  <w:style w:type="paragraph" w:styleId="a7">
    <w:name w:val="Block Text"/>
    <w:basedOn w:val="a"/>
    <w:pPr>
      <w:ind w:left="144" w:right="-86" w:hanging="144"/>
      <w:jc w:val="both"/>
    </w:pPr>
  </w:style>
  <w:style w:type="paragraph" w:customStyle="1" w:styleId="rule">
    <w:name w:val="rule"/>
    <w:basedOn w:val="a"/>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a"/>
    <w:next w:val="para1"/>
    <w:pPr>
      <w:jc w:val="both"/>
    </w:pPr>
  </w:style>
  <w:style w:type="paragraph" w:customStyle="1" w:styleId="para1">
    <w:name w:val="para1"/>
    <w:basedOn w:val="para"/>
    <w:pPr>
      <w:spacing w:before="120"/>
      <w:ind w:firstLine="288"/>
    </w:pPr>
  </w:style>
  <w:style w:type="paragraph" w:styleId="30">
    <w:name w:val="Body Text 3"/>
    <w:basedOn w:val="a"/>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a"/>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21">
    <w:name w:val="Body Text 2"/>
    <w:basedOn w:val="a"/>
    <w:pPr>
      <w:ind w:firstLine="360"/>
      <w:jc w:val="both"/>
    </w:pPr>
  </w:style>
  <w:style w:type="paragraph" w:styleId="a8">
    <w:name w:val="Body Text Indent"/>
    <w:basedOn w:val="a"/>
    <w:pPr>
      <w:ind w:left="1080" w:hanging="1080"/>
      <w:jc w:val="both"/>
    </w:pPr>
    <w:rPr>
      <w:rFonts w:ascii="Arial" w:hAnsi="Arial"/>
      <w:sz w:val="22"/>
      <w:lang w:val="en-US"/>
    </w:rPr>
  </w:style>
  <w:style w:type="paragraph" w:styleId="22">
    <w:name w:val="Body Text Indent 2"/>
    <w:basedOn w:val="a"/>
    <w:pPr>
      <w:ind w:left="360" w:hanging="720"/>
    </w:pPr>
  </w:style>
  <w:style w:type="character" w:styleId="a9">
    <w:name w:val="Hyperlink"/>
    <w:rPr>
      <w:color w:val="0000FF"/>
      <w:u w:val="single"/>
    </w:rPr>
  </w:style>
  <w:style w:type="table" w:styleId="aa">
    <w:name w:val="Table Grid"/>
    <w:basedOn w:val="a1"/>
    <w:rsid w:val="0030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Char"/>
    <w:rsid w:val="007531A2"/>
    <w:rPr>
      <w:rFonts w:ascii="Malgun Gothic" w:hAnsi="Malgun Gothic"/>
      <w:sz w:val="18"/>
      <w:szCs w:val="18"/>
    </w:rPr>
  </w:style>
  <w:style w:type="character" w:customStyle="1" w:styleId="Char">
    <w:name w:val="풍선 도움말 텍스트 Char"/>
    <w:link w:val="ab"/>
    <w:rsid w:val="007531A2"/>
    <w:rPr>
      <w:rFonts w:ascii="Malgun Gothic" w:eastAsia="Malgun Gothic" w:hAnsi="Malgun Gothic" w:cs="Times New Roman"/>
      <w:sz w:val="18"/>
      <w:szCs w:val="18"/>
      <w:lang w:val="en-GB" w:eastAsia="en-US"/>
    </w:rPr>
  </w:style>
  <w:style w:type="character" w:styleId="ac">
    <w:name w:val="annotation reference"/>
    <w:rsid w:val="007531A2"/>
    <w:rPr>
      <w:sz w:val="18"/>
      <w:szCs w:val="18"/>
    </w:rPr>
  </w:style>
  <w:style w:type="paragraph" w:styleId="ad">
    <w:name w:val="annotation text"/>
    <w:basedOn w:val="a"/>
    <w:link w:val="Char0"/>
    <w:rsid w:val="007531A2"/>
  </w:style>
  <w:style w:type="character" w:customStyle="1" w:styleId="Char0">
    <w:name w:val="메모 텍스트 Char"/>
    <w:link w:val="ad"/>
    <w:rsid w:val="007531A2"/>
    <w:rPr>
      <w:rFonts w:ascii="Times New Roman" w:hAnsi="Times New Roman"/>
      <w:lang w:val="en-GB" w:eastAsia="en-US"/>
    </w:rPr>
  </w:style>
  <w:style w:type="paragraph" w:styleId="ae">
    <w:name w:val="annotation subject"/>
    <w:basedOn w:val="ad"/>
    <w:next w:val="ad"/>
    <w:link w:val="Char1"/>
    <w:rsid w:val="007531A2"/>
    <w:rPr>
      <w:b/>
      <w:bCs/>
    </w:rPr>
  </w:style>
  <w:style w:type="character" w:customStyle="1" w:styleId="Char1">
    <w:name w:val="메모 주제 Char"/>
    <w:link w:val="ae"/>
    <w:rsid w:val="007531A2"/>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23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yjin@hanyang.ac.kr" TargetMode="Externa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3.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hyperlink" Target="mailto:jinsookim@hanyang.ac.kr"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2532E-3FD4-41E5-86A1-C4D67F6EA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1188</Words>
  <Characters>6778</Characters>
  <Application>Microsoft Office Word</Application>
  <DocSecurity>0</DocSecurity>
  <Lines>56</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7951</CharactersWithSpaces>
  <SharedDoc>false</SharedDoc>
  <HLinks>
    <vt:vector size="12" baseType="variant">
      <vt:variant>
        <vt:i4>3276870</vt:i4>
      </vt:variant>
      <vt:variant>
        <vt:i4>3</vt:i4>
      </vt:variant>
      <vt:variant>
        <vt:i4>0</vt:i4>
      </vt:variant>
      <vt:variant>
        <vt:i4>5</vt:i4>
      </vt:variant>
      <vt:variant>
        <vt:lpwstr>mailto:jinsookim@hanyang.ac.kr</vt:lpwstr>
      </vt:variant>
      <vt:variant>
        <vt:lpwstr/>
      </vt:variant>
      <vt:variant>
        <vt:i4>3080266</vt:i4>
      </vt:variant>
      <vt:variant>
        <vt:i4>0</vt:i4>
      </vt:variant>
      <vt:variant>
        <vt:i4>0</vt:i4>
      </vt:variant>
      <vt:variant>
        <vt:i4>5</vt:i4>
      </vt:variant>
      <vt:variant>
        <vt:lpwstr>mailto:tyjin@hanyang.ac.kr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WS1</dc:creator>
  <cp:keywords/>
  <cp:lastModifiedBy>JinTaeyoung</cp:lastModifiedBy>
  <cp:revision>2</cp:revision>
  <cp:lastPrinted>2012-01-19T01:58:00Z</cp:lastPrinted>
  <dcterms:created xsi:type="dcterms:W3CDTF">2019-03-11T13:59:00Z</dcterms:created>
  <dcterms:modified xsi:type="dcterms:W3CDTF">2019-03-11T13:59:00Z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