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D2AFC" w14:textId="77777777" w:rsidR="000A46FA" w:rsidRDefault="000A46FA" w:rsidP="000A46FA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Natural gas involvement in China’s energy transition</w:t>
      </w:r>
    </w:p>
    <w:p w14:paraId="7E9D9CE9" w14:textId="4B7680F6" w:rsidR="004745C7" w:rsidRDefault="004745C7" w:rsidP="00A175D9">
      <w:pPr>
        <w:jc w:val="both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val="en-US"/>
        </w:rPr>
      </w:pPr>
      <w:bookmarkStart w:id="0" w:name="_GoBack"/>
      <w:bookmarkEnd w:id="0"/>
    </w:p>
    <w:p w14:paraId="4677D0A9" w14:textId="77777777" w:rsidR="004534DC" w:rsidRDefault="004534DC" w:rsidP="00A465CF">
      <w:pPr>
        <w:rPr>
          <w:rFonts w:ascii="Times New Roman" w:eastAsia="Times New Roman" w:hAnsi="Times New Roman" w:cs="Times New Roman"/>
          <w:color w:val="212121"/>
          <w:shd w:val="clear" w:color="auto" w:fill="FFFFFF"/>
          <w:lang w:val="en-US"/>
        </w:rPr>
      </w:pPr>
    </w:p>
    <w:p w14:paraId="7D8CC386" w14:textId="77777777" w:rsidR="00DB6B12" w:rsidRPr="00A465CF" w:rsidRDefault="00DB6B12" w:rsidP="00A465CF">
      <w:pPr>
        <w:rPr>
          <w:rFonts w:ascii="Times New Roman" w:eastAsia="Times New Roman" w:hAnsi="Times New Roman" w:cs="Times New Roman"/>
          <w:color w:val="212121"/>
          <w:shd w:val="clear" w:color="auto" w:fill="FFFFFF"/>
          <w:lang w:val="en-US"/>
        </w:rPr>
      </w:pPr>
    </w:p>
    <w:p w14:paraId="15AACD1A" w14:textId="77777777" w:rsidR="000154BC" w:rsidRPr="009F553E" w:rsidRDefault="000154BC" w:rsidP="000154BC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lang w:val="en-US"/>
        </w:rPr>
      </w:pPr>
      <w:r w:rsidRPr="00A175D9">
        <w:rPr>
          <w:rFonts w:ascii="Times New Roman" w:eastAsia="Times New Roman" w:hAnsi="Times New Roman"/>
          <w:color w:val="212121"/>
          <w:shd w:val="clear" w:color="auto" w:fill="FFFFFF"/>
          <w:lang w:val="en-US"/>
        </w:rPr>
        <w:t xml:space="preserve">Silvana Mima, </w:t>
      </w:r>
      <w:r>
        <w:rPr>
          <w:rFonts w:ascii="Times New Roman" w:hAnsi="Times New Roman"/>
          <w:lang w:val="en-US"/>
        </w:rPr>
        <w:t>CNRS-GAEL</w:t>
      </w:r>
      <w:r w:rsidRPr="009F553E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+643563418</w:t>
      </w:r>
      <w:r w:rsidRPr="009F553E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silvana.mima@univ-grenoble-alpes.fr</w:t>
      </w:r>
    </w:p>
    <w:p w14:paraId="2D6A603B" w14:textId="4E1EBE55" w:rsidR="009F553E" w:rsidRDefault="004534DC" w:rsidP="009F553E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lang w:val="en-US"/>
        </w:rPr>
      </w:pPr>
      <w:r w:rsidRPr="00A175D9">
        <w:rPr>
          <w:rFonts w:ascii="Times New Roman" w:hAnsi="Times New Roman"/>
          <w:lang w:val="en-US"/>
        </w:rPr>
        <w:t>Catherine Locatelli</w:t>
      </w:r>
      <w:r w:rsidR="009F553E">
        <w:rPr>
          <w:rFonts w:ascii="Times New Roman" w:hAnsi="Times New Roman"/>
          <w:lang w:val="en-US"/>
        </w:rPr>
        <w:t xml:space="preserve">, </w:t>
      </w:r>
      <w:r w:rsidR="00D74442">
        <w:rPr>
          <w:rFonts w:ascii="Times New Roman" w:hAnsi="Times New Roman"/>
          <w:lang w:val="en-US"/>
        </w:rPr>
        <w:t>CNRS-GAEL</w:t>
      </w:r>
      <w:r w:rsidR="009F553E" w:rsidRPr="009F553E">
        <w:rPr>
          <w:rFonts w:ascii="Times New Roman" w:hAnsi="Times New Roman"/>
          <w:lang w:val="en-US"/>
        </w:rPr>
        <w:t xml:space="preserve">, </w:t>
      </w:r>
      <w:r w:rsidR="00D74442">
        <w:rPr>
          <w:rFonts w:ascii="Times New Roman" w:hAnsi="Times New Roman"/>
          <w:lang w:val="en-US"/>
        </w:rPr>
        <w:t>+456528575</w:t>
      </w:r>
      <w:r w:rsidR="009F553E" w:rsidRPr="009F553E">
        <w:rPr>
          <w:rFonts w:ascii="Times New Roman" w:hAnsi="Times New Roman"/>
          <w:lang w:val="en-US"/>
        </w:rPr>
        <w:t xml:space="preserve">, </w:t>
      </w:r>
      <w:proofErr w:type="spellStart"/>
      <w:r w:rsidR="00D74442">
        <w:rPr>
          <w:rFonts w:ascii="Times New Roman" w:hAnsi="Times New Roman"/>
          <w:lang w:val="en-US"/>
        </w:rPr>
        <w:t>Catherine.locatelli</w:t>
      </w:r>
      <w:proofErr w:type="spellEnd"/>
      <w:r w:rsidR="00D74442">
        <w:rPr>
          <w:rFonts w:ascii="Times New Roman" w:hAnsi="Times New Roman"/>
          <w:lang w:val="en-US"/>
        </w:rPr>
        <w:t>@</w:t>
      </w:r>
      <w:r w:rsidR="00D74442" w:rsidRPr="00D74442">
        <w:rPr>
          <w:rFonts w:ascii="Times New Roman" w:hAnsi="Times New Roman"/>
          <w:lang w:val="en-US"/>
        </w:rPr>
        <w:t xml:space="preserve"> </w:t>
      </w:r>
      <w:r w:rsidR="00D74442">
        <w:rPr>
          <w:rFonts w:ascii="Times New Roman" w:hAnsi="Times New Roman"/>
          <w:lang w:val="en-US"/>
        </w:rPr>
        <w:t>univ-grenoble-alpes.fr</w:t>
      </w:r>
    </w:p>
    <w:p w14:paraId="1B47DE8C" w14:textId="458744CD" w:rsidR="00A465CF" w:rsidRDefault="004534DC" w:rsidP="00A465CF">
      <w:pPr>
        <w:pStyle w:val="NormalWeb"/>
        <w:spacing w:before="0" w:beforeAutospacing="0" w:after="0" w:afterAutospacing="0"/>
        <w:jc w:val="right"/>
        <w:rPr>
          <w:rStyle w:val="Lienhypertexte"/>
          <w:rFonts w:ascii="Times New Roman" w:hAnsi="Times New Roman"/>
          <w:i/>
          <w:lang w:val="en-US"/>
        </w:rPr>
      </w:pPr>
      <w:r w:rsidRPr="00A175D9">
        <w:rPr>
          <w:rFonts w:ascii="Times New Roman" w:hAnsi="Times New Roman"/>
          <w:lang w:val="en-US"/>
        </w:rPr>
        <w:t xml:space="preserve">Olga </w:t>
      </w:r>
      <w:proofErr w:type="spellStart"/>
      <w:r w:rsidRPr="00A175D9">
        <w:rPr>
          <w:rFonts w:ascii="Times New Roman" w:hAnsi="Times New Roman"/>
          <w:lang w:val="en-US"/>
        </w:rPr>
        <w:t>Garanina</w:t>
      </w:r>
      <w:proofErr w:type="spellEnd"/>
      <w:r w:rsidR="00A465CF" w:rsidRPr="00A175D9">
        <w:rPr>
          <w:rFonts w:ascii="Times New Roman" w:hAnsi="Times New Roman"/>
          <w:lang w:val="en-US"/>
        </w:rPr>
        <w:t>, Graduate School of</w:t>
      </w:r>
      <w:r w:rsidR="00DB6B12" w:rsidRPr="00A175D9">
        <w:rPr>
          <w:rFonts w:ascii="Times New Roman" w:hAnsi="Times New Roman"/>
          <w:lang w:val="en-US"/>
        </w:rPr>
        <w:t xml:space="preserve"> Management, St Petersburg </w:t>
      </w:r>
      <w:r w:rsidR="00DB6B12" w:rsidRPr="00185C1A">
        <w:rPr>
          <w:rFonts w:ascii="Times New Roman" w:hAnsi="Times New Roman"/>
          <w:lang w:val="en-US"/>
        </w:rPr>
        <w:t>University, +7 906 251 26 35</w:t>
      </w:r>
      <w:r w:rsidR="00DB6B12" w:rsidRPr="009F553E">
        <w:rPr>
          <w:rFonts w:ascii="Times New Roman" w:hAnsi="Times New Roman"/>
          <w:i/>
          <w:lang w:val="en-US"/>
        </w:rPr>
        <w:t xml:space="preserve"> </w:t>
      </w:r>
    </w:p>
    <w:p w14:paraId="71673B5F" w14:textId="0D626C59" w:rsidR="00E776EA" w:rsidRPr="00A175D9" w:rsidRDefault="00E776EA" w:rsidP="00A465CF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lang w:val="en-US"/>
        </w:rPr>
      </w:pPr>
      <w:r>
        <w:rPr>
          <w:rStyle w:val="Lienhypertexte"/>
          <w:rFonts w:ascii="Times New Roman" w:hAnsi="Times New Roman"/>
          <w:i/>
          <w:lang w:val="en-US"/>
        </w:rPr>
        <w:t>Silvana.mima@univ-grenoble-alpes.fr</w:t>
      </w:r>
    </w:p>
    <w:p w14:paraId="2F316F76" w14:textId="77777777" w:rsidR="00A465CF" w:rsidRPr="00A175D9" w:rsidRDefault="00A465CF" w:rsidP="00A465CF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lang w:val="en-US"/>
        </w:rPr>
      </w:pPr>
    </w:p>
    <w:p w14:paraId="168DCA1A" w14:textId="77777777" w:rsidR="00A465CF" w:rsidRPr="00A175D9" w:rsidRDefault="00A465CF" w:rsidP="00A465CF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lang w:val="en-US"/>
        </w:rPr>
      </w:pPr>
    </w:p>
    <w:p w14:paraId="00D27AAF" w14:textId="77777777" w:rsidR="00DB6B12" w:rsidRPr="00A175D9" w:rsidRDefault="00DB6B12" w:rsidP="00A465CF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lang w:val="en-US"/>
        </w:rPr>
      </w:pPr>
    </w:p>
    <w:p w14:paraId="25B94E7D" w14:textId="77777777" w:rsidR="00DB6B12" w:rsidRPr="00A175D9" w:rsidRDefault="00DB6B12" w:rsidP="00A465CF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lang w:val="en-US"/>
        </w:rPr>
      </w:pPr>
    </w:p>
    <w:p w14:paraId="5104CCC1" w14:textId="42ACC647" w:rsidR="00A465CF" w:rsidRDefault="00A465CF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b/>
          <w:lang w:val="en-US"/>
        </w:rPr>
      </w:pPr>
      <w:r w:rsidRPr="00A175D9">
        <w:rPr>
          <w:rFonts w:ascii="Times New Roman" w:hAnsi="Times New Roman"/>
          <w:b/>
          <w:lang w:val="en-US"/>
        </w:rPr>
        <w:t>Overview</w:t>
      </w:r>
    </w:p>
    <w:p w14:paraId="793F7C6A" w14:textId="1394DA8F" w:rsidR="00CF1578" w:rsidRDefault="00CF1578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b/>
          <w:lang w:val="en-US"/>
        </w:rPr>
      </w:pPr>
    </w:p>
    <w:p w14:paraId="04700B17" w14:textId="22083135" w:rsidR="00AA374A" w:rsidRDefault="00CF1578" w:rsidP="00AA374A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  <w:r w:rsidRPr="00CF1578">
        <w:rPr>
          <w:rFonts w:ascii="Times New Roman" w:hAnsi="Times New Roman"/>
          <w:lang w:val="en-US"/>
        </w:rPr>
        <w:t xml:space="preserve">The Asia-Pacific region will be the main source of </w:t>
      </w:r>
      <w:proofErr w:type="gramStart"/>
      <w:r w:rsidRPr="00CF1578">
        <w:rPr>
          <w:rFonts w:ascii="Times New Roman" w:hAnsi="Times New Roman"/>
          <w:lang w:val="en-US"/>
        </w:rPr>
        <w:t>world gas demand growth</w:t>
      </w:r>
      <w:proofErr w:type="gramEnd"/>
      <w:r w:rsidRPr="00CF1578">
        <w:rPr>
          <w:rFonts w:ascii="Times New Roman" w:hAnsi="Times New Roman"/>
          <w:lang w:val="en-US"/>
        </w:rPr>
        <w:t xml:space="preserve"> before 2030 (representing according IEA, 2018, 50 % of the world growth before 2023). Within this zone, China takes a particular weight. The growth of its gas consumption</w:t>
      </w:r>
      <w:r>
        <w:rPr>
          <w:rFonts w:ascii="Times New Roman" w:hAnsi="Times New Roman"/>
          <w:lang w:val="en-US"/>
        </w:rPr>
        <w:t>,</w:t>
      </w:r>
      <w:r w:rsidRPr="00CF157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by</w:t>
      </w:r>
      <w:r w:rsidRPr="00CF1578">
        <w:rPr>
          <w:rFonts w:ascii="Times New Roman" w:hAnsi="Times New Roman"/>
          <w:lang w:val="en-US"/>
        </w:rPr>
        <w:t xml:space="preserve"> 2017</w:t>
      </w:r>
      <w:r>
        <w:rPr>
          <w:rFonts w:ascii="Times New Roman" w:hAnsi="Times New Roman"/>
          <w:lang w:val="en-US"/>
        </w:rPr>
        <w:t>,</w:t>
      </w:r>
      <w:r w:rsidRPr="00CF1578">
        <w:rPr>
          <w:rFonts w:ascii="Times New Roman" w:hAnsi="Times New Roman"/>
          <w:lang w:val="en-US"/>
        </w:rPr>
        <w:t xml:space="preserve"> under climatic policies (substitution of the coal by the gas) was </w:t>
      </w:r>
      <w:r>
        <w:rPr>
          <w:rFonts w:ascii="Times New Roman" w:hAnsi="Times New Roman"/>
          <w:lang w:val="en-US"/>
        </w:rPr>
        <w:t>around</w:t>
      </w:r>
      <w:r w:rsidRPr="00CF1578">
        <w:rPr>
          <w:rFonts w:ascii="Times New Roman" w:hAnsi="Times New Roman"/>
          <w:lang w:val="en-US"/>
        </w:rPr>
        <w:t xml:space="preserve"> 15 %. The objective </w:t>
      </w:r>
      <w:r w:rsidR="00C74BFC">
        <w:rPr>
          <w:rFonts w:ascii="Times New Roman" w:hAnsi="Times New Roman"/>
          <w:lang w:val="en-US"/>
        </w:rPr>
        <w:t xml:space="preserve">of the </w:t>
      </w:r>
      <w:r w:rsidR="000164E5">
        <w:rPr>
          <w:rFonts w:ascii="Times New Roman" w:hAnsi="Times New Roman"/>
          <w:lang w:val="en-US"/>
        </w:rPr>
        <w:t>Chinese</w:t>
      </w:r>
      <w:r w:rsidR="00C74BFC">
        <w:rPr>
          <w:rFonts w:ascii="Times New Roman" w:hAnsi="Times New Roman"/>
          <w:lang w:val="en-US"/>
        </w:rPr>
        <w:t xml:space="preserve"> government </w:t>
      </w:r>
      <w:r w:rsidRPr="00CF1578">
        <w:rPr>
          <w:rFonts w:ascii="Times New Roman" w:hAnsi="Times New Roman"/>
          <w:lang w:val="en-US"/>
        </w:rPr>
        <w:t xml:space="preserve">is to </w:t>
      </w:r>
      <w:r w:rsidR="00C74BFC">
        <w:rPr>
          <w:rFonts w:ascii="Times New Roman" w:hAnsi="Times New Roman"/>
          <w:lang w:val="en-US"/>
        </w:rPr>
        <w:t>increase</w:t>
      </w:r>
      <w:r w:rsidRPr="00CF1578">
        <w:rPr>
          <w:rFonts w:ascii="Times New Roman" w:hAnsi="Times New Roman"/>
          <w:lang w:val="en-US"/>
        </w:rPr>
        <w:t xml:space="preserve"> the part of the gas in the energy balance </w:t>
      </w:r>
      <w:r w:rsidR="00C74BFC">
        <w:rPr>
          <w:rFonts w:ascii="Times New Roman" w:hAnsi="Times New Roman"/>
          <w:lang w:val="en-US"/>
        </w:rPr>
        <w:t>from</w:t>
      </w:r>
      <w:r w:rsidRPr="00CF1578">
        <w:rPr>
          <w:rFonts w:ascii="Times New Roman" w:hAnsi="Times New Roman"/>
          <w:lang w:val="en-US"/>
        </w:rPr>
        <w:t xml:space="preserve"> 8</w:t>
      </w:r>
      <w:proofErr w:type="gramStart"/>
      <w:r w:rsidRPr="00CF1578">
        <w:rPr>
          <w:rFonts w:ascii="Times New Roman" w:hAnsi="Times New Roman"/>
          <w:lang w:val="en-US"/>
        </w:rPr>
        <w:t>,3</w:t>
      </w:r>
      <w:proofErr w:type="gramEnd"/>
      <w:r w:rsidRPr="00CF1578">
        <w:rPr>
          <w:rFonts w:ascii="Times New Roman" w:hAnsi="Times New Roman"/>
          <w:lang w:val="en-US"/>
        </w:rPr>
        <w:t xml:space="preserve"> % </w:t>
      </w:r>
      <w:r w:rsidR="00C74BFC">
        <w:rPr>
          <w:rFonts w:ascii="Times New Roman" w:hAnsi="Times New Roman"/>
          <w:lang w:val="en-US"/>
        </w:rPr>
        <w:t>currently to</w:t>
      </w:r>
      <w:r w:rsidRPr="00CF1578">
        <w:rPr>
          <w:rFonts w:ascii="Times New Roman" w:hAnsi="Times New Roman"/>
          <w:lang w:val="en-US"/>
        </w:rPr>
        <w:t xml:space="preserve"> 10 % in 2020. Considering the evolutions of the Chinese gas production </w:t>
      </w:r>
      <w:r w:rsidR="00C74BFC">
        <w:rPr>
          <w:rFonts w:ascii="Times New Roman" w:hAnsi="Times New Roman"/>
          <w:lang w:val="en-US"/>
        </w:rPr>
        <w:t>including</w:t>
      </w:r>
      <w:r w:rsidRPr="00CF1578">
        <w:rPr>
          <w:rFonts w:ascii="Times New Roman" w:hAnsi="Times New Roman"/>
          <w:lang w:val="en-US"/>
        </w:rPr>
        <w:t xml:space="preserve"> the non-conventional </w:t>
      </w:r>
      <w:r w:rsidR="00C74BFC">
        <w:rPr>
          <w:rFonts w:ascii="Times New Roman" w:hAnsi="Times New Roman"/>
          <w:lang w:val="en-US"/>
        </w:rPr>
        <w:t xml:space="preserve">gas </w:t>
      </w:r>
      <w:r w:rsidRPr="00CF1578">
        <w:rPr>
          <w:rFonts w:ascii="Times New Roman" w:hAnsi="Times New Roman"/>
          <w:lang w:val="en-US"/>
        </w:rPr>
        <w:t xml:space="preserve">development, this demand growth </w:t>
      </w:r>
      <w:proofErr w:type="gramStart"/>
      <w:r w:rsidRPr="00CF1578">
        <w:rPr>
          <w:rFonts w:ascii="Times New Roman" w:hAnsi="Times New Roman"/>
          <w:lang w:val="en-US"/>
        </w:rPr>
        <w:t xml:space="preserve">should be </w:t>
      </w:r>
      <w:r w:rsidR="000164E5">
        <w:rPr>
          <w:rFonts w:ascii="Times New Roman" w:hAnsi="Times New Roman"/>
          <w:lang w:val="en-US"/>
        </w:rPr>
        <w:t>translated</w:t>
      </w:r>
      <w:proofErr w:type="gramEnd"/>
      <w:r w:rsidR="000164E5">
        <w:rPr>
          <w:rFonts w:ascii="Times New Roman" w:hAnsi="Times New Roman"/>
          <w:lang w:val="en-US"/>
        </w:rPr>
        <w:t xml:space="preserve"> by massive imports. </w:t>
      </w:r>
      <w:r w:rsidR="000164E5" w:rsidRPr="000164E5">
        <w:rPr>
          <w:rFonts w:ascii="Times New Roman" w:hAnsi="Times New Roman"/>
          <w:lang w:val="en-US"/>
        </w:rPr>
        <w:t xml:space="preserve">China could so become the first world importer of gas </w:t>
      </w:r>
      <w:r w:rsidR="000164E5">
        <w:rPr>
          <w:rFonts w:ascii="Times New Roman" w:hAnsi="Times New Roman"/>
          <w:lang w:val="en-US"/>
        </w:rPr>
        <w:t>by</w:t>
      </w:r>
      <w:r w:rsidR="000164E5" w:rsidRPr="000164E5">
        <w:rPr>
          <w:rFonts w:ascii="Times New Roman" w:hAnsi="Times New Roman"/>
          <w:lang w:val="en-US"/>
        </w:rPr>
        <w:t xml:space="preserve"> 2019 and change the competition</w:t>
      </w:r>
      <w:r w:rsidR="000164E5">
        <w:rPr>
          <w:rFonts w:ascii="Times New Roman" w:hAnsi="Times New Roman"/>
          <w:lang w:val="en-US"/>
        </w:rPr>
        <w:t xml:space="preserve"> </w:t>
      </w:r>
      <w:r w:rsidR="000164E5" w:rsidRPr="000164E5">
        <w:rPr>
          <w:rFonts w:ascii="Times New Roman" w:hAnsi="Times New Roman"/>
          <w:lang w:val="en-US"/>
        </w:rPr>
        <w:t xml:space="preserve">between suppliers, regional gas </w:t>
      </w:r>
      <w:r w:rsidR="000164E5">
        <w:rPr>
          <w:rFonts w:ascii="Times New Roman" w:hAnsi="Times New Roman"/>
          <w:lang w:val="en-US"/>
        </w:rPr>
        <w:t>prices and create new tensions between regional markets</w:t>
      </w:r>
      <w:r w:rsidR="000164E5" w:rsidRPr="000164E5">
        <w:rPr>
          <w:rFonts w:ascii="Times New Roman" w:hAnsi="Times New Roman"/>
          <w:lang w:val="en-US"/>
        </w:rPr>
        <w:t xml:space="preserve">. In </w:t>
      </w:r>
      <w:proofErr w:type="gramStart"/>
      <w:r w:rsidR="000164E5" w:rsidRPr="000164E5">
        <w:rPr>
          <w:rFonts w:ascii="Times New Roman" w:hAnsi="Times New Roman"/>
          <w:lang w:val="en-US"/>
        </w:rPr>
        <w:t>particular</w:t>
      </w:r>
      <w:proofErr w:type="gramEnd"/>
      <w:r w:rsidR="000164E5" w:rsidRPr="000164E5">
        <w:rPr>
          <w:rFonts w:ascii="Times New Roman" w:hAnsi="Times New Roman"/>
          <w:lang w:val="en-US"/>
        </w:rPr>
        <w:t xml:space="preserve"> the US GNL could be exported towards Asia and not </w:t>
      </w:r>
      <w:r w:rsidR="000164E5">
        <w:rPr>
          <w:rFonts w:ascii="Times New Roman" w:hAnsi="Times New Roman"/>
          <w:lang w:val="en-US"/>
        </w:rPr>
        <w:t>towards</w:t>
      </w:r>
      <w:r w:rsidR="000164E5" w:rsidRPr="000164E5">
        <w:rPr>
          <w:rFonts w:ascii="Times New Roman" w:hAnsi="Times New Roman"/>
          <w:lang w:val="en-US"/>
        </w:rPr>
        <w:t xml:space="preserve"> the European market </w:t>
      </w:r>
      <w:r w:rsidR="000164E5">
        <w:rPr>
          <w:rFonts w:ascii="Times New Roman" w:hAnsi="Times New Roman"/>
          <w:lang w:val="en-US"/>
        </w:rPr>
        <w:t xml:space="preserve">which </w:t>
      </w:r>
      <w:r w:rsidR="000164E5" w:rsidRPr="000164E5">
        <w:rPr>
          <w:rFonts w:ascii="Times New Roman" w:hAnsi="Times New Roman"/>
          <w:lang w:val="en-US"/>
        </w:rPr>
        <w:t>increasing</w:t>
      </w:r>
      <w:r w:rsidR="000164E5">
        <w:rPr>
          <w:rFonts w:ascii="Times New Roman" w:hAnsi="Times New Roman"/>
          <w:lang w:val="en-US"/>
        </w:rPr>
        <w:t>ly</w:t>
      </w:r>
      <w:r w:rsidR="000164E5" w:rsidRPr="000164E5">
        <w:rPr>
          <w:rFonts w:ascii="Times New Roman" w:hAnsi="Times New Roman"/>
          <w:lang w:val="en-US"/>
        </w:rPr>
        <w:t xml:space="preserve"> </w:t>
      </w:r>
      <w:r w:rsidR="00AA374A">
        <w:rPr>
          <w:rFonts w:ascii="Times New Roman" w:hAnsi="Times New Roman"/>
          <w:lang w:val="en-US"/>
        </w:rPr>
        <w:t xml:space="preserve">may </w:t>
      </w:r>
      <w:r w:rsidR="00AA374A" w:rsidRPr="000164E5">
        <w:rPr>
          <w:rFonts w:ascii="Times New Roman" w:hAnsi="Times New Roman"/>
          <w:lang w:val="en-US"/>
        </w:rPr>
        <w:t>become</w:t>
      </w:r>
      <w:r w:rsidR="000164E5">
        <w:rPr>
          <w:rFonts w:ascii="Times New Roman" w:hAnsi="Times New Roman"/>
          <w:lang w:val="en-US"/>
        </w:rPr>
        <w:t xml:space="preserve"> a</w:t>
      </w:r>
      <w:r w:rsidR="000164E5" w:rsidRPr="000164E5">
        <w:rPr>
          <w:rFonts w:ascii="Times New Roman" w:hAnsi="Times New Roman"/>
          <w:lang w:val="en-US"/>
        </w:rPr>
        <w:t xml:space="preserve"> residual </w:t>
      </w:r>
      <w:r w:rsidR="000164E5">
        <w:rPr>
          <w:rFonts w:ascii="Times New Roman" w:hAnsi="Times New Roman"/>
          <w:lang w:val="en-US"/>
        </w:rPr>
        <w:t xml:space="preserve">GNL </w:t>
      </w:r>
      <w:r w:rsidR="000164E5" w:rsidRPr="000164E5">
        <w:rPr>
          <w:rFonts w:ascii="Times New Roman" w:hAnsi="Times New Roman"/>
          <w:lang w:val="en-US"/>
        </w:rPr>
        <w:t>market.</w:t>
      </w:r>
    </w:p>
    <w:p w14:paraId="2F5483B7" w14:textId="77777777" w:rsidR="00AA374A" w:rsidRDefault="00AA374A" w:rsidP="00AA374A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</w:p>
    <w:p w14:paraId="39FD28BB" w14:textId="27C44376" w:rsidR="00DB772D" w:rsidRPr="00CF1578" w:rsidRDefault="00AA374A" w:rsidP="00AA374A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  <w:r w:rsidRPr="00AA374A"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  <w:lang w:val="en-US"/>
        </w:rPr>
        <w:t>perspective</w:t>
      </w:r>
      <w:r w:rsidRPr="00AA374A">
        <w:rPr>
          <w:rFonts w:ascii="Times New Roman" w:hAnsi="Times New Roman"/>
          <w:lang w:val="en-US"/>
        </w:rPr>
        <w:t xml:space="preserve"> of a new golden age of the world gas will be concentrated in </w:t>
      </w:r>
      <w:r w:rsidR="00DB772D" w:rsidRPr="00DB772D">
        <w:rPr>
          <w:rFonts w:ascii="Times New Roman" w:hAnsi="Times New Roman"/>
          <w:lang w:val="en-US"/>
        </w:rPr>
        <w:t xml:space="preserve">the Asia-Pacific region and </w:t>
      </w:r>
      <w:r>
        <w:rPr>
          <w:rFonts w:ascii="Times New Roman" w:hAnsi="Times New Roman"/>
          <w:lang w:val="en-US"/>
        </w:rPr>
        <w:t>particularly</w:t>
      </w:r>
      <w:r w:rsidR="00DB772D" w:rsidRPr="00DB772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</w:t>
      </w:r>
      <w:r w:rsidR="00DB772D" w:rsidRPr="00DB772D">
        <w:rPr>
          <w:rFonts w:ascii="Times New Roman" w:hAnsi="Times New Roman"/>
          <w:lang w:val="en-US"/>
        </w:rPr>
        <w:t xml:space="preserve"> China</w:t>
      </w:r>
      <w:r>
        <w:rPr>
          <w:rFonts w:ascii="Times New Roman" w:hAnsi="Times New Roman"/>
          <w:lang w:val="en-US"/>
        </w:rPr>
        <w:t>.</w:t>
      </w:r>
      <w:r w:rsidR="00DB772D" w:rsidRPr="00DB772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</w:t>
      </w:r>
      <w:r w:rsidR="00DB772D" w:rsidRPr="00DB772D">
        <w:rPr>
          <w:rFonts w:ascii="Times New Roman" w:hAnsi="Times New Roman"/>
          <w:lang w:val="en-US"/>
        </w:rPr>
        <w:t>how</w:t>
      </w:r>
      <w:r w:rsidR="003D058D">
        <w:rPr>
          <w:rFonts w:ascii="Times New Roman" w:hAnsi="Times New Roman"/>
          <w:lang w:val="en-US"/>
        </w:rPr>
        <w:t>ing</w:t>
      </w:r>
      <w:r w:rsidR="00DB772D" w:rsidRPr="00DB772D">
        <w:rPr>
          <w:rFonts w:ascii="Times New Roman" w:hAnsi="Times New Roman"/>
          <w:lang w:val="en-US"/>
        </w:rPr>
        <w:t xml:space="preserve"> important </w:t>
      </w:r>
      <w:r>
        <w:rPr>
          <w:rFonts w:ascii="Times New Roman" w:hAnsi="Times New Roman"/>
          <w:lang w:val="en-US"/>
        </w:rPr>
        <w:t>ambitions</w:t>
      </w:r>
      <w:r w:rsidR="00DB772D" w:rsidRPr="00DB772D">
        <w:rPr>
          <w:rFonts w:ascii="Times New Roman" w:hAnsi="Times New Roman"/>
          <w:lang w:val="en-US"/>
        </w:rPr>
        <w:t xml:space="preserve"> to substitute at least on the short term the coal by the gas</w:t>
      </w:r>
      <w:r w:rsidR="003D058D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China </w:t>
      </w:r>
      <w:r w:rsidR="00DB772D" w:rsidRPr="00DB772D">
        <w:rPr>
          <w:rFonts w:ascii="Times New Roman" w:hAnsi="Times New Roman"/>
          <w:lang w:val="en-US"/>
        </w:rPr>
        <w:t xml:space="preserve">may strongly </w:t>
      </w:r>
      <w:r w:rsidR="003D058D">
        <w:rPr>
          <w:rFonts w:ascii="Times New Roman" w:hAnsi="Times New Roman"/>
          <w:lang w:val="en-US"/>
        </w:rPr>
        <w:t xml:space="preserve">change </w:t>
      </w:r>
      <w:r w:rsidR="00DB772D" w:rsidRPr="00DB772D">
        <w:rPr>
          <w:rFonts w:ascii="Times New Roman" w:hAnsi="Times New Roman"/>
          <w:lang w:val="en-US"/>
        </w:rPr>
        <w:t>its gas request</w:t>
      </w:r>
      <w:r w:rsidR="003D058D">
        <w:rPr>
          <w:rFonts w:ascii="Times New Roman" w:hAnsi="Times New Roman"/>
          <w:lang w:val="en-US"/>
        </w:rPr>
        <w:t xml:space="preserve"> profile</w:t>
      </w:r>
      <w:r>
        <w:rPr>
          <w:rFonts w:ascii="Times New Roman" w:hAnsi="Times New Roman"/>
          <w:lang w:val="en-US"/>
        </w:rPr>
        <w:t>, being</w:t>
      </w:r>
      <w:r w:rsidRPr="00DB772D">
        <w:rPr>
          <w:rFonts w:ascii="Times New Roman" w:hAnsi="Times New Roman"/>
          <w:lang w:val="en-US"/>
        </w:rPr>
        <w:t xml:space="preserve"> thus fundamental for the balances of the regional natural gas markets. </w:t>
      </w:r>
      <w:r>
        <w:rPr>
          <w:rFonts w:ascii="Times New Roman" w:hAnsi="Times New Roman"/>
          <w:lang w:val="en-US"/>
        </w:rPr>
        <w:t>Many uncertainties put us</w:t>
      </w:r>
      <w:r w:rsidR="00DB772D" w:rsidRPr="00DB772D">
        <w:rPr>
          <w:rFonts w:ascii="Times New Roman" w:hAnsi="Times New Roman"/>
          <w:lang w:val="en-US"/>
        </w:rPr>
        <w:t xml:space="preserve"> in the face of important differences in the estimations of the Chinese gas </w:t>
      </w:r>
      <w:r w:rsidR="003D058D">
        <w:rPr>
          <w:rFonts w:ascii="Times New Roman" w:hAnsi="Times New Roman"/>
          <w:lang w:val="en-US"/>
        </w:rPr>
        <w:t>demand</w:t>
      </w:r>
      <w:r w:rsidR="00DB772D" w:rsidRPr="00DB772D">
        <w:rPr>
          <w:rFonts w:ascii="Times New Roman" w:hAnsi="Times New Roman"/>
          <w:lang w:val="en-US"/>
        </w:rPr>
        <w:t xml:space="preserve"> </w:t>
      </w:r>
      <w:r w:rsidR="003D058D">
        <w:rPr>
          <w:rFonts w:ascii="Times New Roman" w:hAnsi="Times New Roman"/>
          <w:lang w:val="en-US"/>
        </w:rPr>
        <w:t>varying</w:t>
      </w:r>
      <w:r w:rsidR="00DB772D" w:rsidRPr="00DB772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according sources </w:t>
      </w:r>
      <w:r w:rsidR="00DB772D" w:rsidRPr="00DB772D">
        <w:rPr>
          <w:rFonts w:ascii="Times New Roman" w:hAnsi="Times New Roman"/>
          <w:lang w:val="en-US"/>
        </w:rPr>
        <w:t>from 300 to 600 Gm3</w:t>
      </w:r>
      <w:r>
        <w:rPr>
          <w:rFonts w:ascii="Times New Roman" w:hAnsi="Times New Roman"/>
          <w:lang w:val="en-US"/>
        </w:rPr>
        <w:t xml:space="preserve"> by 2030</w:t>
      </w:r>
      <w:r w:rsidR="00DB772D" w:rsidRPr="00DB772D">
        <w:rPr>
          <w:rFonts w:ascii="Times New Roman" w:hAnsi="Times New Roman"/>
          <w:lang w:val="en-US"/>
        </w:rPr>
        <w:t>.</w:t>
      </w:r>
    </w:p>
    <w:p w14:paraId="2EC2BE6B" w14:textId="000FD2D6" w:rsidR="00CF61ED" w:rsidRDefault="00CF61ED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b/>
          <w:lang w:val="en-US"/>
        </w:rPr>
      </w:pPr>
    </w:p>
    <w:p w14:paraId="05BD8D64" w14:textId="6A6204BD" w:rsidR="00DC5904" w:rsidRPr="004745C7" w:rsidRDefault="003D058D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b/>
          <w:lang w:val="en-US"/>
        </w:rPr>
      </w:pPr>
      <w:r w:rsidRPr="004745C7">
        <w:rPr>
          <w:rFonts w:ascii="Times New Roman" w:hAnsi="Times New Roman"/>
          <w:lang w:val="en-US"/>
        </w:rPr>
        <w:t xml:space="preserve">The </w:t>
      </w:r>
      <w:proofErr w:type="spellStart"/>
      <w:r w:rsidRPr="004745C7">
        <w:rPr>
          <w:rFonts w:ascii="Times New Roman" w:hAnsi="Times New Roman"/>
          <w:lang w:val="en-US"/>
        </w:rPr>
        <w:t>objectif</w:t>
      </w:r>
      <w:proofErr w:type="spellEnd"/>
      <w:r w:rsidRPr="004745C7">
        <w:rPr>
          <w:rFonts w:ascii="Times New Roman" w:hAnsi="Times New Roman"/>
          <w:lang w:val="en-US"/>
        </w:rPr>
        <w:t xml:space="preserve"> of the paper </w:t>
      </w:r>
      <w:r w:rsidR="00DC5904" w:rsidRPr="004745C7">
        <w:rPr>
          <w:rFonts w:ascii="Times New Roman" w:hAnsi="Times New Roman"/>
          <w:lang w:val="en-US"/>
        </w:rPr>
        <w:t xml:space="preserve">is to test various scenarios of </w:t>
      </w:r>
      <w:r w:rsidR="00C0158F" w:rsidRPr="004745C7">
        <w:rPr>
          <w:rFonts w:ascii="Times New Roman" w:hAnsi="Times New Roman"/>
          <w:lang w:val="en-US"/>
        </w:rPr>
        <w:t xml:space="preserve">the </w:t>
      </w:r>
      <w:r w:rsidR="00DC5904" w:rsidRPr="004745C7">
        <w:rPr>
          <w:rFonts w:ascii="Times New Roman" w:hAnsi="Times New Roman"/>
          <w:lang w:val="en-US"/>
        </w:rPr>
        <w:t xml:space="preserve">Chinese gas demand under </w:t>
      </w:r>
      <w:r w:rsidR="00C0158F" w:rsidRPr="004745C7">
        <w:rPr>
          <w:rFonts w:ascii="Times New Roman" w:hAnsi="Times New Roman"/>
          <w:lang w:val="en-US"/>
        </w:rPr>
        <w:t>2D</w:t>
      </w:r>
      <w:r w:rsidR="00DC5904" w:rsidRPr="004745C7">
        <w:rPr>
          <w:rFonts w:ascii="Times New Roman" w:hAnsi="Times New Roman"/>
          <w:lang w:val="en-US"/>
        </w:rPr>
        <w:t xml:space="preserve"> climatic policies. It is then necessary to analyze the consequences for the European market in terms of </w:t>
      </w:r>
      <w:r w:rsidR="00C0158F" w:rsidRPr="004745C7">
        <w:rPr>
          <w:rFonts w:ascii="Times New Roman" w:hAnsi="Times New Roman"/>
          <w:lang w:val="en-US"/>
        </w:rPr>
        <w:t>competition</w:t>
      </w:r>
      <w:r w:rsidR="00DC5904" w:rsidRPr="004745C7">
        <w:rPr>
          <w:rFonts w:ascii="Times New Roman" w:hAnsi="Times New Roman"/>
          <w:lang w:val="en-US"/>
        </w:rPr>
        <w:t xml:space="preserve"> and price level.</w:t>
      </w:r>
      <w:r w:rsidR="00DC5904" w:rsidRPr="004745C7">
        <w:rPr>
          <w:rFonts w:ascii="Times New Roman" w:hAnsi="Times New Roman"/>
          <w:b/>
          <w:lang w:val="en-US"/>
        </w:rPr>
        <w:t xml:space="preserve"> </w:t>
      </w:r>
    </w:p>
    <w:p w14:paraId="346EEC09" w14:textId="77777777" w:rsidR="00DC5904" w:rsidRPr="004745C7" w:rsidRDefault="00DC5904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b/>
          <w:lang w:val="en-US"/>
        </w:rPr>
      </w:pPr>
    </w:p>
    <w:p w14:paraId="08E664D0" w14:textId="22B32807" w:rsidR="00A465CF" w:rsidRPr="004745C7" w:rsidRDefault="009F553E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>The paper will consecutively present</w:t>
      </w:r>
      <w:r w:rsidR="00C0158F">
        <w:rPr>
          <w:rFonts w:ascii="Times New Roman" w:hAnsi="Times New Roman"/>
          <w:lang w:val="en-US"/>
        </w:rPr>
        <w:t xml:space="preserve"> first</w:t>
      </w:r>
      <w:r w:rsidR="00DB6B12" w:rsidRPr="00A175D9">
        <w:rPr>
          <w:rFonts w:ascii="Times New Roman" w:hAnsi="Times New Roman"/>
          <w:lang w:val="en-US"/>
        </w:rPr>
        <w:t xml:space="preserve"> </w:t>
      </w:r>
      <w:r w:rsidR="007451C4">
        <w:rPr>
          <w:rFonts w:ascii="Times New Roman" w:hAnsi="Times New Roman"/>
          <w:lang w:val="en-US"/>
        </w:rPr>
        <w:t>(</w:t>
      </w:r>
      <w:proofErr w:type="spellStart"/>
      <w:r w:rsidR="007451C4">
        <w:rPr>
          <w:rFonts w:ascii="Times New Roman" w:hAnsi="Times New Roman"/>
          <w:lang w:val="en-US"/>
        </w:rPr>
        <w:t>i</w:t>
      </w:r>
      <w:proofErr w:type="spellEnd"/>
      <w:r w:rsidR="007451C4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  <w:lang w:val="en-US"/>
        </w:rPr>
        <w:t xml:space="preserve">an overview </w:t>
      </w:r>
      <w:r w:rsidR="00DC5904">
        <w:rPr>
          <w:rFonts w:ascii="Times New Roman" w:hAnsi="Times New Roman"/>
          <w:lang w:val="en-US"/>
        </w:rPr>
        <w:t xml:space="preserve">of the main drivers of the China’s </w:t>
      </w:r>
      <w:r>
        <w:rPr>
          <w:rFonts w:ascii="Times New Roman" w:hAnsi="Times New Roman"/>
          <w:lang w:val="en-US"/>
        </w:rPr>
        <w:t xml:space="preserve">gas </w:t>
      </w:r>
      <w:r w:rsidR="00470F72">
        <w:rPr>
          <w:rFonts w:ascii="Times New Roman" w:hAnsi="Times New Roman"/>
          <w:lang w:val="en-US"/>
        </w:rPr>
        <w:t>market, current and future challenges</w:t>
      </w:r>
      <w:r w:rsidR="00ED5312">
        <w:rPr>
          <w:rFonts w:ascii="Times New Roman" w:hAnsi="Times New Roman"/>
          <w:lang w:val="en-US"/>
        </w:rPr>
        <w:t>;</w:t>
      </w:r>
      <w:r>
        <w:rPr>
          <w:rFonts w:ascii="Times New Roman" w:hAnsi="Times New Roman"/>
          <w:lang w:val="en-US"/>
        </w:rPr>
        <w:t xml:space="preserve"> </w:t>
      </w:r>
      <w:r w:rsidR="007451C4">
        <w:rPr>
          <w:rFonts w:ascii="Times New Roman" w:hAnsi="Times New Roman"/>
          <w:lang w:val="en-US"/>
        </w:rPr>
        <w:t xml:space="preserve">(ii) </w:t>
      </w:r>
      <w:r w:rsidR="00C0158F">
        <w:rPr>
          <w:rFonts w:ascii="Times New Roman" w:hAnsi="Times New Roman"/>
          <w:lang w:val="en-US"/>
        </w:rPr>
        <w:t xml:space="preserve">further </w:t>
      </w:r>
      <w:r w:rsidR="00470F72">
        <w:rPr>
          <w:rFonts w:ascii="Times New Roman" w:hAnsi="Times New Roman"/>
          <w:lang w:val="en-US"/>
        </w:rPr>
        <w:t xml:space="preserve">will </w:t>
      </w:r>
      <w:r w:rsidR="00C0158F">
        <w:rPr>
          <w:rFonts w:ascii="Times New Roman" w:hAnsi="Times New Roman"/>
          <w:lang w:val="en-US"/>
        </w:rPr>
        <w:t xml:space="preserve">describe </w:t>
      </w:r>
      <w:r w:rsidR="00DC5904">
        <w:rPr>
          <w:rFonts w:ascii="Times New Roman" w:hAnsi="Times New Roman"/>
          <w:lang w:val="en-US"/>
        </w:rPr>
        <w:t>scenario</w:t>
      </w:r>
      <w:r w:rsidR="00470F72">
        <w:rPr>
          <w:rFonts w:ascii="Times New Roman" w:hAnsi="Times New Roman"/>
          <w:lang w:val="en-US"/>
        </w:rPr>
        <w:t>’</w:t>
      </w:r>
      <w:r w:rsidR="00C0158F">
        <w:rPr>
          <w:rFonts w:ascii="Times New Roman" w:hAnsi="Times New Roman"/>
          <w:lang w:val="en-US"/>
        </w:rPr>
        <w:t>s</w:t>
      </w:r>
      <w:r w:rsidR="00DC5904">
        <w:rPr>
          <w:rFonts w:ascii="Times New Roman" w:hAnsi="Times New Roman"/>
          <w:lang w:val="en-US"/>
        </w:rPr>
        <w:t xml:space="preserve"> construction</w:t>
      </w:r>
      <w:r w:rsidR="00C0158F">
        <w:rPr>
          <w:rFonts w:ascii="Times New Roman" w:hAnsi="Times New Roman"/>
          <w:lang w:val="en-US"/>
        </w:rPr>
        <w:t xml:space="preserve"> with the POLES model and </w:t>
      </w:r>
      <w:r w:rsidR="00470F72">
        <w:rPr>
          <w:rFonts w:ascii="Times New Roman" w:hAnsi="Times New Roman"/>
          <w:lang w:val="en-US"/>
        </w:rPr>
        <w:t>use them to</w:t>
      </w:r>
      <w:r>
        <w:rPr>
          <w:rFonts w:ascii="Times New Roman" w:hAnsi="Times New Roman"/>
          <w:lang w:val="en-US"/>
        </w:rPr>
        <w:t xml:space="preserve"> </w:t>
      </w:r>
      <w:r w:rsidR="007451C4">
        <w:rPr>
          <w:rFonts w:ascii="Times New Roman" w:hAnsi="Times New Roman"/>
          <w:lang w:val="en-US"/>
        </w:rPr>
        <w:t xml:space="preserve">(iii) </w:t>
      </w:r>
      <w:r w:rsidR="00C0158F">
        <w:rPr>
          <w:rFonts w:ascii="Times New Roman" w:hAnsi="Times New Roman"/>
          <w:lang w:val="en-US"/>
        </w:rPr>
        <w:t xml:space="preserve">analyze </w:t>
      </w:r>
      <w:r w:rsidR="00DC5904">
        <w:rPr>
          <w:rFonts w:ascii="Times New Roman" w:hAnsi="Times New Roman"/>
          <w:lang w:val="en-US"/>
        </w:rPr>
        <w:t xml:space="preserve">China’s gas demand by scenario and </w:t>
      </w:r>
      <w:r w:rsidR="007451C4">
        <w:rPr>
          <w:rFonts w:ascii="Times New Roman" w:hAnsi="Times New Roman"/>
          <w:lang w:val="en-US"/>
        </w:rPr>
        <w:t xml:space="preserve">implications for </w:t>
      </w:r>
      <w:r w:rsidR="00DC5904">
        <w:rPr>
          <w:rFonts w:ascii="Times New Roman" w:hAnsi="Times New Roman"/>
          <w:lang w:val="en-US"/>
        </w:rPr>
        <w:t xml:space="preserve">the </w:t>
      </w:r>
      <w:r w:rsidR="007451C4">
        <w:rPr>
          <w:rFonts w:ascii="Times New Roman" w:hAnsi="Times New Roman"/>
          <w:lang w:val="en-US"/>
        </w:rPr>
        <w:t>EU gas security.</w:t>
      </w:r>
    </w:p>
    <w:p w14:paraId="09B63F7B" w14:textId="77777777" w:rsidR="00DB6B12" w:rsidRPr="00A175D9" w:rsidRDefault="00DB6B12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</w:p>
    <w:p w14:paraId="2FAE02D6" w14:textId="77777777" w:rsidR="00A465CF" w:rsidRPr="00A175D9" w:rsidRDefault="00A465CF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b/>
          <w:lang w:val="en-US"/>
        </w:rPr>
      </w:pPr>
      <w:r w:rsidRPr="00A175D9">
        <w:rPr>
          <w:rFonts w:ascii="Times New Roman" w:hAnsi="Times New Roman"/>
          <w:b/>
          <w:lang w:val="en-US"/>
        </w:rPr>
        <w:t>Method</w:t>
      </w:r>
    </w:p>
    <w:p w14:paraId="1B8E3E4E" w14:textId="58C6AB0F" w:rsidR="00F56B0E" w:rsidRDefault="00185403" w:rsidP="00F56B0E">
      <w:pPr>
        <w:pStyle w:val="NormalWeb"/>
        <w:tabs>
          <w:tab w:val="right" w:pos="8300"/>
        </w:tabs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POLES model (</w:t>
      </w:r>
      <w:r w:rsidR="00965A04" w:rsidRPr="00965A04">
        <w:rPr>
          <w:rFonts w:ascii="Times New Roman" w:hAnsi="Times New Roman"/>
          <w:lang w:val="en-US"/>
        </w:rPr>
        <w:t>Prospective Outlook on Long-term Energy Systems</w:t>
      </w:r>
      <w:r>
        <w:rPr>
          <w:rFonts w:ascii="Times New Roman" w:hAnsi="Times New Roman"/>
          <w:lang w:val="en-US"/>
        </w:rPr>
        <w:t xml:space="preserve">) has a good representation of regional gas markets. </w:t>
      </w:r>
      <w:r w:rsidR="00470F72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 xml:space="preserve">t </w:t>
      </w:r>
      <w:proofErr w:type="gramStart"/>
      <w:r>
        <w:rPr>
          <w:rFonts w:ascii="Times New Roman" w:hAnsi="Times New Roman"/>
          <w:lang w:val="en-US"/>
        </w:rPr>
        <w:t>can be used</w:t>
      </w:r>
      <w:proofErr w:type="gramEnd"/>
      <w:r>
        <w:rPr>
          <w:rFonts w:ascii="Times New Roman" w:hAnsi="Times New Roman"/>
          <w:lang w:val="en-US"/>
        </w:rPr>
        <w:t xml:space="preserve"> </w:t>
      </w:r>
      <w:r w:rsidR="00552C9D" w:rsidRPr="00A175D9">
        <w:rPr>
          <w:rFonts w:ascii="Times New Roman" w:hAnsi="Times New Roman"/>
          <w:lang w:val="en-US"/>
        </w:rPr>
        <w:t xml:space="preserve">to </w:t>
      </w:r>
      <w:r w:rsidR="00AD59D4">
        <w:rPr>
          <w:rFonts w:ascii="Times New Roman" w:hAnsi="Times New Roman"/>
          <w:lang w:val="en-US"/>
        </w:rPr>
        <w:t xml:space="preserve">analyze the great opportunities that </w:t>
      </w:r>
      <w:r w:rsidR="00AD59D4" w:rsidRPr="00AD59D4">
        <w:rPr>
          <w:rFonts w:ascii="Times New Roman" w:hAnsi="Times New Roman"/>
          <w:lang w:val="en-US"/>
        </w:rPr>
        <w:t xml:space="preserve">China’s natural gas </w:t>
      </w:r>
      <w:r w:rsidR="00552C9D" w:rsidRPr="00A175D9">
        <w:rPr>
          <w:rFonts w:ascii="Times New Roman" w:hAnsi="Times New Roman"/>
          <w:lang w:val="en-US"/>
        </w:rPr>
        <w:t xml:space="preserve">demand and supply </w:t>
      </w:r>
      <w:r w:rsidR="00AD59D4">
        <w:rPr>
          <w:rFonts w:ascii="Times New Roman" w:hAnsi="Times New Roman"/>
          <w:lang w:val="en-US"/>
        </w:rPr>
        <w:t xml:space="preserve">may </w:t>
      </w:r>
      <w:r w:rsidR="007844EE">
        <w:rPr>
          <w:rFonts w:ascii="Times New Roman" w:hAnsi="Times New Roman"/>
          <w:lang w:val="en-US"/>
        </w:rPr>
        <w:t>face</w:t>
      </w:r>
      <w:r w:rsidR="0079033B">
        <w:rPr>
          <w:rFonts w:ascii="Times New Roman" w:hAnsi="Times New Roman"/>
          <w:lang w:val="en-US"/>
        </w:rPr>
        <w:t xml:space="preserve"> in various scenarios</w:t>
      </w:r>
      <w:r w:rsidR="00F56B0E">
        <w:rPr>
          <w:rFonts w:ascii="Times New Roman" w:hAnsi="Times New Roman"/>
          <w:lang w:val="en-US"/>
        </w:rPr>
        <w:t xml:space="preserve">: </w:t>
      </w:r>
    </w:p>
    <w:p w14:paraId="3DFA3547" w14:textId="4FEC3104" w:rsidR="00F56B0E" w:rsidRDefault="00F56B0E" w:rsidP="00F56B0E">
      <w:pPr>
        <w:pStyle w:val="NormalWeb"/>
        <w:numPr>
          <w:ilvl w:val="0"/>
          <w:numId w:val="1"/>
        </w:numPr>
        <w:tabs>
          <w:tab w:val="right" w:pos="8300"/>
        </w:tabs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For </w:t>
      </w:r>
      <w:proofErr w:type="spellStart"/>
      <w:r>
        <w:rPr>
          <w:rFonts w:ascii="Times New Roman" w:hAnsi="Times New Roman"/>
          <w:lang w:val="en-US"/>
        </w:rPr>
        <w:t>eg</w:t>
      </w:r>
      <w:proofErr w:type="spellEnd"/>
      <w:r>
        <w:rPr>
          <w:rFonts w:ascii="Times New Roman" w:hAnsi="Times New Roman"/>
          <w:lang w:val="en-US"/>
        </w:rPr>
        <w:t>.</w:t>
      </w:r>
      <w:r w:rsidRPr="00F56B0E">
        <w:rPr>
          <w:rFonts w:ascii="Times New Roman" w:hAnsi="Times New Roman"/>
          <w:lang w:val="en-US"/>
        </w:rPr>
        <w:t xml:space="preserve"> what may be the role </w:t>
      </w:r>
      <w:r>
        <w:rPr>
          <w:rFonts w:ascii="Times New Roman" w:hAnsi="Times New Roman"/>
          <w:lang w:val="en-US"/>
        </w:rPr>
        <w:t>of China’s climate policy (like</w:t>
      </w:r>
      <w:r w:rsidRPr="00F56B0E">
        <w:rPr>
          <w:rFonts w:ascii="Times New Roman" w:hAnsi="Times New Roman"/>
          <w:lang w:val="en-US"/>
        </w:rPr>
        <w:t xml:space="preserve"> increasing shares of renewabl</w:t>
      </w:r>
      <w:r>
        <w:rPr>
          <w:rFonts w:ascii="Times New Roman" w:hAnsi="Times New Roman"/>
          <w:lang w:val="en-US"/>
        </w:rPr>
        <w:t>e energy) on the demand for gas ;</w:t>
      </w:r>
      <w:r w:rsidRPr="00F56B0E">
        <w:rPr>
          <w:rFonts w:ascii="Times New Roman" w:hAnsi="Times New Roman"/>
          <w:lang w:val="en-US"/>
        </w:rPr>
        <w:t xml:space="preserve"> </w:t>
      </w:r>
    </w:p>
    <w:p w14:paraId="65E5A016" w14:textId="01975E23" w:rsidR="00F56B0E" w:rsidRDefault="00F56B0E" w:rsidP="00F56B0E">
      <w:pPr>
        <w:pStyle w:val="NormalWeb"/>
        <w:numPr>
          <w:ilvl w:val="0"/>
          <w:numId w:val="1"/>
        </w:numPr>
        <w:tabs>
          <w:tab w:val="right" w:pos="8300"/>
        </w:tabs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What may be the </w:t>
      </w:r>
      <w:r w:rsidRPr="00F56B0E">
        <w:rPr>
          <w:rFonts w:ascii="Times New Roman" w:hAnsi="Times New Roman"/>
          <w:lang w:val="en-US"/>
        </w:rPr>
        <w:t xml:space="preserve">role of demand for gas in China on global gas markets </w:t>
      </w:r>
      <w:r>
        <w:rPr>
          <w:rFonts w:ascii="Times New Roman" w:hAnsi="Times New Roman"/>
          <w:lang w:val="en-US"/>
        </w:rPr>
        <w:t>and how</w:t>
      </w:r>
      <w:r w:rsidRPr="00F56B0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can be</w:t>
      </w:r>
      <w:r w:rsidRPr="00F56B0E">
        <w:rPr>
          <w:rFonts w:ascii="Times New Roman" w:hAnsi="Times New Roman"/>
          <w:lang w:val="en-US"/>
        </w:rPr>
        <w:t xml:space="preserve"> prevent</w:t>
      </w:r>
      <w:r>
        <w:rPr>
          <w:rFonts w:ascii="Times New Roman" w:hAnsi="Times New Roman"/>
          <w:lang w:val="en-US"/>
        </w:rPr>
        <w:t>ed</w:t>
      </w:r>
      <w:r w:rsidRPr="00F56B0E">
        <w:rPr>
          <w:rFonts w:ascii="Times New Roman" w:hAnsi="Times New Roman"/>
          <w:lang w:val="en-US"/>
        </w:rPr>
        <w:t xml:space="preserve"> eventual tensions. </w:t>
      </w:r>
    </w:p>
    <w:p w14:paraId="0B560C75" w14:textId="58BCE4A4" w:rsidR="00DB6B12" w:rsidRPr="00F56B0E" w:rsidRDefault="00F56B0E" w:rsidP="00F56B0E">
      <w:pPr>
        <w:pStyle w:val="NormalWeb"/>
        <w:numPr>
          <w:ilvl w:val="0"/>
          <w:numId w:val="1"/>
        </w:numPr>
        <w:tabs>
          <w:tab w:val="right" w:pos="8300"/>
        </w:tabs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Certainly, t</w:t>
      </w:r>
      <w:r w:rsidRPr="00F56B0E">
        <w:rPr>
          <w:rFonts w:ascii="Times New Roman" w:hAnsi="Times New Roman"/>
          <w:lang w:val="en-US"/>
        </w:rPr>
        <w:t>he prospective outlooks on these questions are highly dependent on the future oil and gas prices</w:t>
      </w:r>
      <w:r>
        <w:rPr>
          <w:rFonts w:ascii="Times New Roman" w:hAnsi="Times New Roman"/>
          <w:lang w:val="en-US"/>
        </w:rPr>
        <w:t>,</w:t>
      </w:r>
      <w:r w:rsidRPr="00F56B0E">
        <w:rPr>
          <w:rFonts w:ascii="Times New Roman" w:hAnsi="Times New Roman"/>
          <w:lang w:val="en-US"/>
        </w:rPr>
        <w:t xml:space="preserve"> which should </w:t>
      </w:r>
      <w:r>
        <w:rPr>
          <w:rFonts w:ascii="Times New Roman" w:hAnsi="Times New Roman"/>
          <w:lang w:val="en-US"/>
        </w:rPr>
        <w:t xml:space="preserve">also </w:t>
      </w:r>
      <w:r w:rsidRPr="00F56B0E">
        <w:rPr>
          <w:rFonts w:ascii="Times New Roman" w:hAnsi="Times New Roman"/>
          <w:lang w:val="en-US"/>
        </w:rPr>
        <w:t>affect the gas demand.</w:t>
      </w:r>
    </w:p>
    <w:p w14:paraId="7F28A71D" w14:textId="77777777" w:rsidR="00A465CF" w:rsidRPr="00A175D9" w:rsidRDefault="00A465CF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b/>
          <w:lang w:val="en-US"/>
        </w:rPr>
      </w:pPr>
      <w:r w:rsidRPr="00A175D9">
        <w:rPr>
          <w:rFonts w:ascii="Times New Roman" w:hAnsi="Times New Roman"/>
          <w:b/>
          <w:lang w:val="en-US"/>
        </w:rPr>
        <w:t>Results</w:t>
      </w:r>
    </w:p>
    <w:p w14:paraId="559FEFBB" w14:textId="2683CE5A" w:rsidR="00A465CF" w:rsidRPr="00A175D9" w:rsidRDefault="00DB6B12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  <w:r w:rsidRPr="00A175D9">
        <w:rPr>
          <w:rFonts w:ascii="Times New Roman" w:hAnsi="Times New Roman"/>
          <w:lang w:val="en-US"/>
        </w:rPr>
        <w:t>Expected results</w:t>
      </w:r>
      <w:r w:rsidR="00BC33B1">
        <w:rPr>
          <w:rFonts w:ascii="Times New Roman" w:hAnsi="Times New Roman"/>
          <w:lang w:val="en-US"/>
        </w:rPr>
        <w:t xml:space="preserve"> are two-fold. Firstly, the paper will propose an assessment of gas demand and</w:t>
      </w:r>
      <w:r w:rsidRPr="00A175D9">
        <w:rPr>
          <w:rFonts w:ascii="Times New Roman" w:hAnsi="Times New Roman"/>
          <w:lang w:val="en-US"/>
        </w:rPr>
        <w:t xml:space="preserve"> </w:t>
      </w:r>
      <w:r w:rsidR="00BC33B1">
        <w:rPr>
          <w:rFonts w:ascii="Times New Roman" w:hAnsi="Times New Roman"/>
          <w:lang w:val="en-US"/>
        </w:rPr>
        <w:t xml:space="preserve">supply </w:t>
      </w:r>
      <w:r w:rsidR="00083086">
        <w:rPr>
          <w:rFonts w:ascii="Times New Roman" w:hAnsi="Times New Roman"/>
          <w:lang w:val="en-US"/>
        </w:rPr>
        <w:t xml:space="preserve">in China </w:t>
      </w:r>
      <w:r w:rsidR="00185403">
        <w:rPr>
          <w:rFonts w:ascii="Times New Roman" w:hAnsi="Times New Roman"/>
          <w:lang w:val="en-US"/>
        </w:rPr>
        <w:t>under different climate policy scenarios</w:t>
      </w:r>
      <w:r w:rsidR="00BC33B1">
        <w:rPr>
          <w:rFonts w:ascii="Times New Roman" w:hAnsi="Times New Roman"/>
          <w:lang w:val="en-US"/>
        </w:rPr>
        <w:t>. Secondly, it will derive</w:t>
      </w:r>
      <w:r w:rsidRPr="00A175D9">
        <w:rPr>
          <w:rFonts w:ascii="Times New Roman" w:hAnsi="Times New Roman"/>
          <w:lang w:val="en-US"/>
        </w:rPr>
        <w:t xml:space="preserve"> implications in terms of gas supply </w:t>
      </w:r>
      <w:r w:rsidR="00185C1A">
        <w:rPr>
          <w:rFonts w:ascii="Times New Roman" w:hAnsi="Times New Roman"/>
          <w:lang w:val="en-US"/>
        </w:rPr>
        <w:t>options</w:t>
      </w:r>
      <w:r w:rsidRPr="00A175D9">
        <w:rPr>
          <w:rFonts w:ascii="Times New Roman" w:hAnsi="Times New Roman"/>
          <w:lang w:val="en-US"/>
        </w:rPr>
        <w:t xml:space="preserve"> for the EU.</w:t>
      </w:r>
    </w:p>
    <w:p w14:paraId="73BCBDDC" w14:textId="77777777" w:rsidR="00A465CF" w:rsidRPr="00A175D9" w:rsidRDefault="00A465CF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</w:p>
    <w:p w14:paraId="2ACC9477" w14:textId="77777777" w:rsidR="00A465CF" w:rsidRPr="00A175D9" w:rsidRDefault="00A465CF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b/>
          <w:lang w:val="en-US"/>
        </w:rPr>
      </w:pPr>
      <w:r w:rsidRPr="00A175D9">
        <w:rPr>
          <w:rFonts w:ascii="Times New Roman" w:hAnsi="Times New Roman"/>
          <w:b/>
          <w:lang w:val="en-US"/>
        </w:rPr>
        <w:t>Conclusions</w:t>
      </w:r>
    </w:p>
    <w:p w14:paraId="0568504F" w14:textId="4A912634" w:rsidR="00A465CF" w:rsidRPr="00A175D9" w:rsidRDefault="00DB6B12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  <w:r w:rsidRPr="00A175D9">
        <w:rPr>
          <w:rFonts w:ascii="Times New Roman" w:hAnsi="Times New Roman"/>
          <w:lang w:val="en-US"/>
        </w:rPr>
        <w:lastRenderedPageBreak/>
        <w:t xml:space="preserve">Chinese </w:t>
      </w:r>
      <w:r w:rsidR="00A175D9" w:rsidRPr="00A175D9">
        <w:rPr>
          <w:rFonts w:ascii="Times New Roman" w:hAnsi="Times New Roman"/>
          <w:lang w:val="en-US"/>
        </w:rPr>
        <w:t xml:space="preserve">gas </w:t>
      </w:r>
      <w:r w:rsidR="00BC33B1">
        <w:rPr>
          <w:rFonts w:ascii="Times New Roman" w:hAnsi="Times New Roman"/>
          <w:lang w:val="en-US"/>
        </w:rPr>
        <w:t>demand</w:t>
      </w:r>
      <w:r w:rsidR="00A175D9" w:rsidRPr="00A175D9">
        <w:rPr>
          <w:rFonts w:ascii="Times New Roman" w:hAnsi="Times New Roman"/>
          <w:lang w:val="en-US"/>
        </w:rPr>
        <w:t xml:space="preserve"> affects </w:t>
      </w:r>
      <w:r w:rsidR="00A175D9">
        <w:rPr>
          <w:rFonts w:ascii="Times New Roman" w:hAnsi="Times New Roman"/>
          <w:lang w:val="en-US"/>
        </w:rPr>
        <w:t xml:space="preserve">regional gas balances, in particular </w:t>
      </w:r>
      <w:r w:rsidR="00C90EF4">
        <w:rPr>
          <w:rFonts w:ascii="Times New Roman" w:hAnsi="Times New Roman"/>
          <w:lang w:val="en-US"/>
        </w:rPr>
        <w:t xml:space="preserve">through </w:t>
      </w:r>
      <w:r w:rsidR="00A175D9">
        <w:rPr>
          <w:rFonts w:ascii="Times New Roman" w:hAnsi="Times New Roman"/>
          <w:lang w:val="en-US"/>
        </w:rPr>
        <w:t xml:space="preserve">availability of </w:t>
      </w:r>
      <w:r w:rsidR="001944F6">
        <w:rPr>
          <w:rFonts w:ascii="Times New Roman" w:hAnsi="Times New Roman"/>
          <w:lang w:val="en-US"/>
        </w:rPr>
        <w:t>LNG </w:t>
      </w:r>
      <w:r w:rsidR="00A175D9">
        <w:rPr>
          <w:rFonts w:ascii="Times New Roman" w:hAnsi="Times New Roman"/>
          <w:lang w:val="en-US"/>
        </w:rPr>
        <w:t>supply in the European gas market. Therefore, e</w:t>
      </w:r>
      <w:r w:rsidRPr="00A175D9">
        <w:rPr>
          <w:rFonts w:ascii="Times New Roman" w:hAnsi="Times New Roman"/>
          <w:lang w:val="en-US"/>
        </w:rPr>
        <w:t>nergy security policies in Europe should cons</w:t>
      </w:r>
      <w:r w:rsidR="00A175D9">
        <w:rPr>
          <w:rFonts w:ascii="Times New Roman" w:hAnsi="Times New Roman"/>
          <w:lang w:val="en-US"/>
        </w:rPr>
        <w:t xml:space="preserve">ider different gas consumption scenarios in China. </w:t>
      </w:r>
    </w:p>
    <w:p w14:paraId="01ED415F" w14:textId="77777777" w:rsidR="00B02654" w:rsidRPr="00A175D9" w:rsidRDefault="00B02654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</w:p>
    <w:p w14:paraId="069942BE" w14:textId="77777777" w:rsidR="00DB6B12" w:rsidRPr="00167A64" w:rsidRDefault="00A465CF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b/>
          <w:lang w:val="en-US"/>
        </w:rPr>
      </w:pPr>
      <w:r w:rsidRPr="00167A64">
        <w:rPr>
          <w:rFonts w:ascii="Times New Roman" w:hAnsi="Times New Roman"/>
          <w:b/>
          <w:lang w:val="en-US"/>
        </w:rPr>
        <w:t>References</w:t>
      </w:r>
    </w:p>
    <w:p w14:paraId="34A4EA9B" w14:textId="0553739F" w:rsidR="00A30A07" w:rsidRDefault="00A30A07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  <w:r w:rsidRPr="00167A64">
        <w:rPr>
          <w:rFonts w:ascii="Times New Roman" w:hAnsi="Times New Roman"/>
          <w:lang w:val="en-US"/>
        </w:rPr>
        <w:t xml:space="preserve">IEA (2017). World Energy Outlook 2017. Paris: OECD/IEA. </w:t>
      </w:r>
    </w:p>
    <w:p w14:paraId="6D8748EA" w14:textId="77777777" w:rsidR="0079033B" w:rsidRPr="00167A64" w:rsidRDefault="0079033B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</w:p>
    <w:p w14:paraId="35C90A3C" w14:textId="11A8A29A" w:rsidR="00A30A07" w:rsidRDefault="00A30A07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  <w:r w:rsidRPr="00167A64">
        <w:rPr>
          <w:rFonts w:ascii="Times New Roman" w:hAnsi="Times New Roman"/>
          <w:lang w:val="en-US"/>
        </w:rPr>
        <w:t xml:space="preserve">IEA (2018). Gas 2018. Analysis and forecasts to 2023. Paris: OECD/IEA. </w:t>
      </w:r>
    </w:p>
    <w:p w14:paraId="0D72B9ED" w14:textId="77777777" w:rsidR="0079033B" w:rsidRPr="00167A64" w:rsidRDefault="0079033B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</w:p>
    <w:p w14:paraId="7C9A7609" w14:textId="3A7F290F" w:rsidR="00A30A07" w:rsidRDefault="00A30A07" w:rsidP="00ED455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7A64">
        <w:rPr>
          <w:rFonts w:ascii="Times New Roman" w:hAnsi="Times New Roman" w:cs="Times New Roman"/>
          <w:sz w:val="20"/>
          <w:szCs w:val="20"/>
          <w:lang w:val="en-US"/>
        </w:rPr>
        <w:t xml:space="preserve">Qin Y., Tong F., Yang G., and D.L. </w:t>
      </w:r>
      <w:proofErr w:type="spellStart"/>
      <w:r w:rsidRPr="00167A64">
        <w:rPr>
          <w:rFonts w:ascii="Times New Roman" w:hAnsi="Times New Roman" w:cs="Times New Roman"/>
          <w:sz w:val="20"/>
          <w:szCs w:val="20"/>
          <w:lang w:val="en-US"/>
        </w:rPr>
        <w:t>Mauzerall</w:t>
      </w:r>
      <w:proofErr w:type="spellEnd"/>
      <w:r w:rsidRPr="00167A64">
        <w:rPr>
          <w:rFonts w:ascii="Times New Roman" w:hAnsi="Times New Roman" w:cs="Times New Roman"/>
          <w:sz w:val="20"/>
          <w:szCs w:val="20"/>
          <w:lang w:val="en-US"/>
        </w:rPr>
        <w:t xml:space="preserve"> (2018). Challenges of using natural gas as a carbon mitigation option in China. </w:t>
      </w:r>
      <w:r w:rsidRPr="00167A64">
        <w:rPr>
          <w:rFonts w:ascii="Times New Roman" w:hAnsi="Times New Roman" w:cs="Times New Roman"/>
          <w:i/>
          <w:sz w:val="20"/>
          <w:szCs w:val="20"/>
          <w:lang w:val="en-US"/>
        </w:rPr>
        <w:t>Energy Policy</w:t>
      </w:r>
      <w:r w:rsidRPr="00167A64">
        <w:rPr>
          <w:rFonts w:ascii="Times New Roman" w:hAnsi="Times New Roman" w:cs="Times New Roman"/>
          <w:sz w:val="20"/>
          <w:szCs w:val="20"/>
          <w:lang w:val="en-US"/>
        </w:rPr>
        <w:t>, 117:</w:t>
      </w:r>
      <w:r w:rsidRPr="00167A64">
        <w:rPr>
          <w:rFonts w:ascii="Times New Roman" w:hAnsi="Times New Roman" w:cs="Times New Roman"/>
          <w:sz w:val="20"/>
          <w:szCs w:val="20"/>
        </w:rPr>
        <w:t xml:space="preserve"> 457-462</w:t>
      </w:r>
      <w:r w:rsidRPr="00167A6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B56F2AD" w14:textId="77777777" w:rsidR="0079033B" w:rsidRPr="00167A64" w:rsidRDefault="0079033B" w:rsidP="00ED455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CAF3A18" w14:textId="42652637" w:rsidR="00A30A07" w:rsidRDefault="00A30A07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  <w:proofErr w:type="spellStart"/>
      <w:r w:rsidRPr="00167A64">
        <w:rPr>
          <w:rFonts w:ascii="Times New Roman" w:hAnsi="Times New Roman"/>
          <w:lang w:val="en-US"/>
        </w:rPr>
        <w:t>Xunpeng</w:t>
      </w:r>
      <w:proofErr w:type="spellEnd"/>
      <w:r w:rsidRPr="00167A64">
        <w:rPr>
          <w:rFonts w:ascii="Times New Roman" w:hAnsi="Times New Roman"/>
          <w:lang w:val="en-US"/>
        </w:rPr>
        <w:t xml:space="preserve"> S., </w:t>
      </w:r>
      <w:proofErr w:type="spellStart"/>
      <w:r w:rsidRPr="00167A64">
        <w:rPr>
          <w:rFonts w:ascii="Times New Roman" w:hAnsi="Times New Roman"/>
          <w:lang w:val="en-US"/>
        </w:rPr>
        <w:t>Malamakkavu</w:t>
      </w:r>
      <w:proofErr w:type="spellEnd"/>
      <w:r w:rsidRPr="00167A64">
        <w:rPr>
          <w:rFonts w:ascii="Times New Roman" w:hAnsi="Times New Roman"/>
          <w:lang w:val="en-US"/>
        </w:rPr>
        <w:t xml:space="preserve"> H., </w:t>
      </w:r>
      <w:proofErr w:type="spellStart"/>
      <w:r w:rsidRPr="00167A64">
        <w:rPr>
          <w:rFonts w:ascii="Times New Roman" w:hAnsi="Times New Roman"/>
          <w:lang w:val="en-US"/>
        </w:rPr>
        <w:t>Variamb</w:t>
      </w:r>
      <w:proofErr w:type="spellEnd"/>
      <w:r w:rsidRPr="00167A64">
        <w:rPr>
          <w:rFonts w:ascii="Times New Roman" w:hAnsi="Times New Roman"/>
          <w:lang w:val="en-US"/>
        </w:rPr>
        <w:t xml:space="preserve"> P., and </w:t>
      </w:r>
      <w:proofErr w:type="spellStart"/>
      <w:r w:rsidRPr="00167A64">
        <w:rPr>
          <w:rFonts w:ascii="Times New Roman" w:hAnsi="Times New Roman"/>
          <w:lang w:val="en-US"/>
        </w:rPr>
        <w:t>J.Taob</w:t>
      </w:r>
      <w:proofErr w:type="spellEnd"/>
      <w:r w:rsidRPr="00167A64">
        <w:rPr>
          <w:rFonts w:ascii="Times New Roman" w:hAnsi="Times New Roman"/>
          <w:lang w:val="en-US"/>
        </w:rPr>
        <w:t xml:space="preserve"> (2017). Global impact of uncertainties in China’s gas market. </w:t>
      </w:r>
      <w:r w:rsidRPr="00167A64">
        <w:rPr>
          <w:rFonts w:ascii="Times New Roman" w:hAnsi="Times New Roman"/>
          <w:i/>
          <w:lang w:val="en-US"/>
        </w:rPr>
        <w:t>Energy Policy</w:t>
      </w:r>
      <w:r w:rsidRPr="00167A64">
        <w:rPr>
          <w:rFonts w:ascii="Times New Roman" w:hAnsi="Times New Roman"/>
          <w:lang w:val="en-US"/>
        </w:rPr>
        <w:t>, 104:</w:t>
      </w:r>
      <w:r w:rsidRPr="00167A64">
        <w:rPr>
          <w:rFonts w:ascii="Times New Roman" w:hAnsi="Times New Roman"/>
        </w:rPr>
        <w:t xml:space="preserve"> </w:t>
      </w:r>
      <w:r w:rsidRPr="00167A64">
        <w:rPr>
          <w:rFonts w:ascii="Times New Roman" w:hAnsi="Times New Roman"/>
          <w:lang w:val="en-US"/>
        </w:rPr>
        <w:t>382-394.</w:t>
      </w:r>
    </w:p>
    <w:p w14:paraId="3D77DDA7" w14:textId="77777777" w:rsidR="0079033B" w:rsidRPr="00167A64" w:rsidRDefault="0079033B" w:rsidP="00ED4556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</w:p>
    <w:p w14:paraId="6233C3FC" w14:textId="336E195E" w:rsidR="0079033B" w:rsidRDefault="00A30A07" w:rsidP="0079033B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  <w:proofErr w:type="spellStart"/>
      <w:r w:rsidRPr="00167A64">
        <w:rPr>
          <w:rFonts w:ascii="Times New Roman" w:hAnsi="Times New Roman"/>
          <w:lang w:val="en-US"/>
        </w:rPr>
        <w:t>Xunzhang</w:t>
      </w:r>
      <w:proofErr w:type="spellEnd"/>
      <w:r w:rsidRPr="00167A64">
        <w:rPr>
          <w:rFonts w:ascii="Times New Roman" w:hAnsi="Times New Roman"/>
          <w:lang w:val="en-US"/>
        </w:rPr>
        <w:t xml:space="preserve"> P., </w:t>
      </w:r>
      <w:proofErr w:type="spellStart"/>
      <w:r w:rsidRPr="00167A64">
        <w:rPr>
          <w:rFonts w:ascii="Times New Roman" w:hAnsi="Times New Roman"/>
          <w:lang w:val="en-US"/>
        </w:rPr>
        <w:t>Wenying</w:t>
      </w:r>
      <w:proofErr w:type="spellEnd"/>
      <w:r w:rsidRPr="00167A64">
        <w:rPr>
          <w:rFonts w:ascii="Times New Roman" w:hAnsi="Times New Roman"/>
          <w:lang w:val="en-US"/>
        </w:rPr>
        <w:t xml:space="preserve"> C., Clarke L.E., Lining W., and </w:t>
      </w:r>
      <w:proofErr w:type="spellStart"/>
      <w:r w:rsidRPr="00167A64">
        <w:rPr>
          <w:rFonts w:ascii="Times New Roman" w:hAnsi="Times New Roman"/>
          <w:lang w:val="en-US"/>
        </w:rPr>
        <w:t>L.Guannan</w:t>
      </w:r>
      <w:proofErr w:type="spellEnd"/>
      <w:r w:rsidRPr="00167A64">
        <w:rPr>
          <w:rFonts w:ascii="Times New Roman" w:hAnsi="Times New Roman"/>
          <w:lang w:val="en-US"/>
        </w:rPr>
        <w:t xml:space="preserve"> (2017). China's energy system transformation towards the 2 °C goal: Implications of different effort-sharing principles.</w:t>
      </w:r>
      <w:r w:rsidRPr="00167A64">
        <w:rPr>
          <w:rFonts w:ascii="Times New Roman" w:hAnsi="Times New Roman"/>
          <w:i/>
          <w:lang w:val="en-US"/>
        </w:rPr>
        <w:t xml:space="preserve"> Energy Policy</w:t>
      </w:r>
      <w:r w:rsidRPr="00167A64">
        <w:rPr>
          <w:rFonts w:ascii="Times New Roman" w:hAnsi="Times New Roman"/>
          <w:lang w:val="en-US"/>
        </w:rPr>
        <w:t>, 103:</w:t>
      </w:r>
      <w:r w:rsidRPr="00167A64">
        <w:rPr>
          <w:rFonts w:ascii="Times New Roman" w:hAnsi="Times New Roman"/>
        </w:rPr>
        <w:t xml:space="preserve"> 116-126</w:t>
      </w:r>
      <w:r w:rsidRPr="00167A64">
        <w:rPr>
          <w:rFonts w:ascii="Times New Roman" w:hAnsi="Times New Roman"/>
          <w:lang w:val="en-US"/>
        </w:rPr>
        <w:t>.</w:t>
      </w:r>
    </w:p>
    <w:p w14:paraId="21CFF7E1" w14:textId="77777777" w:rsidR="0079033B" w:rsidRDefault="0079033B" w:rsidP="0079033B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</w:p>
    <w:p w14:paraId="5829081C" w14:textId="76F29161" w:rsidR="0079033B" w:rsidRDefault="0079033B" w:rsidP="0079033B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  <w:r w:rsidRPr="0079033B">
        <w:rPr>
          <w:rFonts w:ascii="Times New Roman" w:hAnsi="Times New Roman"/>
          <w:lang w:val="en-US"/>
        </w:rPr>
        <w:t xml:space="preserve">Ying Fan, (2018), « The future of China’s natural gas market with increasing shares of renewables », Presented at the 41th IAEE International Conference, School of Economics &amp; Management, </w:t>
      </w:r>
      <w:proofErr w:type="spellStart"/>
      <w:r w:rsidRPr="0079033B">
        <w:rPr>
          <w:rFonts w:ascii="Times New Roman" w:hAnsi="Times New Roman"/>
          <w:lang w:val="en-US"/>
        </w:rPr>
        <w:t>Beihang</w:t>
      </w:r>
      <w:proofErr w:type="spellEnd"/>
      <w:r w:rsidRPr="0079033B">
        <w:rPr>
          <w:rFonts w:ascii="Times New Roman" w:hAnsi="Times New Roman"/>
          <w:lang w:val="en-US"/>
        </w:rPr>
        <w:t xml:space="preserve"> University, </w:t>
      </w:r>
      <w:proofErr w:type="spellStart"/>
      <w:r w:rsidRPr="0079033B">
        <w:rPr>
          <w:rFonts w:ascii="Times New Roman" w:hAnsi="Times New Roman"/>
          <w:lang w:val="en-US"/>
        </w:rPr>
        <w:t>Beihang</w:t>
      </w:r>
      <w:proofErr w:type="spellEnd"/>
      <w:r w:rsidRPr="0079033B">
        <w:rPr>
          <w:rFonts w:ascii="Times New Roman" w:hAnsi="Times New Roman"/>
          <w:lang w:val="en-US"/>
        </w:rPr>
        <w:t xml:space="preserve"> Center for Energy and Environmental Policy Research, June 13, 2018 Groningen.</w:t>
      </w:r>
    </w:p>
    <w:p w14:paraId="52C03996" w14:textId="77777777" w:rsidR="0079033B" w:rsidRPr="0079033B" w:rsidRDefault="0079033B" w:rsidP="0079033B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</w:p>
    <w:p w14:paraId="3A10E86F" w14:textId="392904DF" w:rsidR="0079033B" w:rsidRPr="00167A64" w:rsidRDefault="0079033B" w:rsidP="0079033B">
      <w:pPr>
        <w:pStyle w:val="NormalWeb"/>
        <w:tabs>
          <w:tab w:val="right" w:pos="8300"/>
        </w:tabs>
        <w:spacing w:before="0" w:beforeAutospacing="0" w:after="0" w:afterAutospacing="0"/>
        <w:jc w:val="both"/>
        <w:rPr>
          <w:rFonts w:ascii="Times New Roman" w:hAnsi="Times New Roman"/>
          <w:lang w:val="en-US"/>
        </w:rPr>
      </w:pPr>
      <w:r w:rsidRPr="0079033B">
        <w:rPr>
          <w:rFonts w:ascii="Times New Roman" w:hAnsi="Times New Roman"/>
          <w:lang w:val="en-US"/>
        </w:rPr>
        <w:t xml:space="preserve">Knut </w:t>
      </w:r>
      <w:proofErr w:type="spellStart"/>
      <w:r w:rsidRPr="0079033B">
        <w:rPr>
          <w:rFonts w:ascii="Times New Roman" w:hAnsi="Times New Roman"/>
          <w:lang w:val="en-US"/>
        </w:rPr>
        <w:t>Einar</w:t>
      </w:r>
      <w:proofErr w:type="spellEnd"/>
      <w:r w:rsidRPr="0079033B">
        <w:rPr>
          <w:rFonts w:ascii="Times New Roman" w:hAnsi="Times New Roman"/>
          <w:lang w:val="en-US"/>
        </w:rPr>
        <w:t xml:space="preserve"> </w:t>
      </w:r>
      <w:proofErr w:type="spellStart"/>
      <w:r w:rsidRPr="0079033B">
        <w:rPr>
          <w:rFonts w:ascii="Times New Roman" w:hAnsi="Times New Roman"/>
          <w:lang w:val="en-US"/>
        </w:rPr>
        <w:t>Rosendahl</w:t>
      </w:r>
      <w:proofErr w:type="spellEnd"/>
      <w:r w:rsidRPr="0079033B">
        <w:rPr>
          <w:rFonts w:ascii="Times New Roman" w:hAnsi="Times New Roman"/>
          <w:lang w:val="en-US"/>
        </w:rPr>
        <w:t xml:space="preserve">, (2018), </w:t>
      </w:r>
      <w:proofErr w:type="gramStart"/>
      <w:r w:rsidRPr="0079033B">
        <w:rPr>
          <w:rFonts w:ascii="Times New Roman" w:hAnsi="Times New Roman"/>
          <w:lang w:val="en-US"/>
        </w:rPr>
        <w:t>The</w:t>
      </w:r>
      <w:proofErr w:type="gramEnd"/>
      <w:r w:rsidRPr="0079033B">
        <w:rPr>
          <w:rFonts w:ascii="Times New Roman" w:hAnsi="Times New Roman"/>
          <w:lang w:val="en-US"/>
        </w:rPr>
        <w:t xml:space="preserve"> future of Russian gas exports to the European market. School of Economics and Business, Norwegian University of Life Sciences, IAEE Conference, Groningen, 13 June 2018.</w:t>
      </w:r>
    </w:p>
    <w:p w14:paraId="28A0232E" w14:textId="77777777" w:rsidR="004534DC" w:rsidRPr="00167A64" w:rsidRDefault="004534DC" w:rsidP="00ED45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7A64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22727015" w14:textId="77777777" w:rsidR="00A16E0D" w:rsidRPr="004534DC" w:rsidRDefault="00A16E0D" w:rsidP="00A465CF">
      <w:pPr>
        <w:jc w:val="right"/>
      </w:pPr>
    </w:p>
    <w:sectPr w:rsidR="00A16E0D" w:rsidRPr="004534DC" w:rsidSect="00A16E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D0843"/>
    <w:multiLevelType w:val="hybridMultilevel"/>
    <w:tmpl w:val="06C645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DC"/>
    <w:rsid w:val="000154BC"/>
    <w:rsid w:val="000164E5"/>
    <w:rsid w:val="00072AE3"/>
    <w:rsid w:val="00081F0E"/>
    <w:rsid w:val="00083086"/>
    <w:rsid w:val="000A46FA"/>
    <w:rsid w:val="000B754B"/>
    <w:rsid w:val="00161DFC"/>
    <w:rsid w:val="00167A64"/>
    <w:rsid w:val="0018263F"/>
    <w:rsid w:val="00185403"/>
    <w:rsid w:val="00185C1A"/>
    <w:rsid w:val="001944F6"/>
    <w:rsid w:val="00270A29"/>
    <w:rsid w:val="003579B3"/>
    <w:rsid w:val="003D058D"/>
    <w:rsid w:val="00405726"/>
    <w:rsid w:val="004418E1"/>
    <w:rsid w:val="004534DC"/>
    <w:rsid w:val="00470F72"/>
    <w:rsid w:val="004745C7"/>
    <w:rsid w:val="005040CD"/>
    <w:rsid w:val="005231C0"/>
    <w:rsid w:val="00525DDE"/>
    <w:rsid w:val="00552C9D"/>
    <w:rsid w:val="005D3040"/>
    <w:rsid w:val="00685407"/>
    <w:rsid w:val="006D13BE"/>
    <w:rsid w:val="007451C4"/>
    <w:rsid w:val="007844EE"/>
    <w:rsid w:val="0079033B"/>
    <w:rsid w:val="007C4727"/>
    <w:rsid w:val="007E7692"/>
    <w:rsid w:val="007F04A0"/>
    <w:rsid w:val="0082254A"/>
    <w:rsid w:val="00834617"/>
    <w:rsid w:val="008F5BA6"/>
    <w:rsid w:val="00922D00"/>
    <w:rsid w:val="00965A04"/>
    <w:rsid w:val="0097090F"/>
    <w:rsid w:val="00987374"/>
    <w:rsid w:val="009C65E9"/>
    <w:rsid w:val="009F553E"/>
    <w:rsid w:val="00A1503C"/>
    <w:rsid w:val="00A16E0D"/>
    <w:rsid w:val="00A175D9"/>
    <w:rsid w:val="00A30A07"/>
    <w:rsid w:val="00A465CF"/>
    <w:rsid w:val="00AA374A"/>
    <w:rsid w:val="00AD59D4"/>
    <w:rsid w:val="00B02654"/>
    <w:rsid w:val="00BC33B1"/>
    <w:rsid w:val="00BF6EA4"/>
    <w:rsid w:val="00C0158F"/>
    <w:rsid w:val="00C74BFC"/>
    <w:rsid w:val="00C90EF4"/>
    <w:rsid w:val="00C93FE2"/>
    <w:rsid w:val="00CD01D0"/>
    <w:rsid w:val="00CD49FE"/>
    <w:rsid w:val="00CF1578"/>
    <w:rsid w:val="00CF61ED"/>
    <w:rsid w:val="00D65A0E"/>
    <w:rsid w:val="00D74442"/>
    <w:rsid w:val="00DB6B12"/>
    <w:rsid w:val="00DB772D"/>
    <w:rsid w:val="00DC5904"/>
    <w:rsid w:val="00DE2E91"/>
    <w:rsid w:val="00DF0221"/>
    <w:rsid w:val="00E776EA"/>
    <w:rsid w:val="00ED4556"/>
    <w:rsid w:val="00ED5312"/>
    <w:rsid w:val="00F5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ABF8F"/>
  <w14:defaultImageDpi w14:val="300"/>
  <w15:docId w15:val="{D929540B-B611-4B67-8DF0-2033884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4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B6B1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F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B19F-B118-40F8-8F43-C20A101D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Silvana Mima</cp:lastModifiedBy>
  <cp:revision>28</cp:revision>
  <cp:lastPrinted>2018-12-17T14:01:00Z</cp:lastPrinted>
  <dcterms:created xsi:type="dcterms:W3CDTF">2018-07-13T13:19:00Z</dcterms:created>
  <dcterms:modified xsi:type="dcterms:W3CDTF">2019-03-14T14:42:00Z</dcterms:modified>
</cp:coreProperties>
</file>