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4E" w:rsidRPr="00D34B4E" w:rsidRDefault="00D34B4E" w:rsidP="00D34B4E">
      <w:pPr>
        <w:pStyle w:val="berschrift3"/>
        <w:rPr>
          <w:rStyle w:val="1GrobuchstabenChar"/>
          <w:i/>
          <w:lang w:val="en-US"/>
        </w:rPr>
      </w:pPr>
      <w:bookmarkStart w:id="0" w:name="OLE_LINK18"/>
      <w:r w:rsidRPr="00D34B4E">
        <w:rPr>
          <w:rStyle w:val="1GrobuchstabenChar"/>
          <w:i/>
          <w:lang w:val="en-US"/>
        </w:rPr>
        <w:t>Conveyance, envy, and home-owners adoption</w:t>
      </w:r>
    </w:p>
    <w:p w:rsidR="00777858" w:rsidRDefault="00D34B4E" w:rsidP="00D34B4E">
      <w:pPr>
        <w:pStyle w:val="berschrift3"/>
        <w:rPr>
          <w:rStyle w:val="1GrobuchstabenChar"/>
          <w:i/>
          <w:lang w:val="en-US"/>
        </w:rPr>
      </w:pPr>
      <w:r w:rsidRPr="00D34B4E">
        <w:rPr>
          <w:rStyle w:val="1GrobuchstabenChar"/>
          <w:i/>
          <w:lang w:val="en-US"/>
        </w:rPr>
        <w:t>of energy-efficient appliances</w:t>
      </w:r>
    </w:p>
    <w:p w:rsidR="00777858" w:rsidRPr="00777858" w:rsidRDefault="00777858" w:rsidP="00777858">
      <w:pPr>
        <w:rPr>
          <w:lang w:val="en-US"/>
        </w:rPr>
      </w:pPr>
    </w:p>
    <w:p w:rsidR="00777858" w:rsidRDefault="00777858" w:rsidP="00777858">
      <w:pPr>
        <w:pStyle w:val="berschrift3"/>
        <w:jc w:val="right"/>
        <w:rPr>
          <w:rStyle w:val="1KursivChar"/>
          <w:b w:val="0"/>
          <w:i w:val="0"/>
          <w:sz w:val="20"/>
          <w:szCs w:val="20"/>
          <w:lang w:val="fr-FR"/>
        </w:rPr>
      </w:pPr>
      <w:r w:rsidRPr="00D3226D">
        <w:rPr>
          <w:rStyle w:val="1KursivChar"/>
          <w:b w:val="0"/>
          <w:i w:val="0"/>
          <w:sz w:val="20"/>
          <w:szCs w:val="20"/>
          <w:lang w:val="fr-FR"/>
        </w:rPr>
        <w:t xml:space="preserve">Joachim Schleich, Grenoble Ecole de Management, Phone +33 4 56806619, E-mail: </w:t>
      </w:r>
      <w:r w:rsidRPr="00D34B4E">
        <w:rPr>
          <w:rStyle w:val="Hyperlink"/>
          <w:bCs/>
          <w:iCs/>
          <w:lang w:val="fr-FR"/>
        </w:rPr>
        <w:t>joachim.schleich@grenoble-em.com</w:t>
      </w:r>
      <w:r w:rsidR="00394222" w:rsidRPr="00D3226D">
        <w:rPr>
          <w:lang w:val="fr-FR"/>
        </w:rPr>
        <w:br/>
      </w:r>
      <w:r w:rsidRPr="00D3226D">
        <w:rPr>
          <w:rStyle w:val="1KursivChar"/>
          <w:b w:val="0"/>
          <w:i w:val="0"/>
          <w:sz w:val="20"/>
          <w:szCs w:val="20"/>
          <w:lang w:val="fr-FR"/>
        </w:rPr>
        <w:t xml:space="preserve">Corinne Faure, Grenoble Ecole de Management, Phone +33 45606613, E-mail: </w:t>
      </w:r>
      <w:hyperlink r:id="rId4" w:history="1">
        <w:r w:rsidR="00D3226D" w:rsidRPr="00FC3435">
          <w:rPr>
            <w:rStyle w:val="Hyperlink"/>
            <w:lang w:val="fr-FR"/>
          </w:rPr>
          <w:t>corinne.faure@grenoble-em.com</w:t>
        </w:r>
      </w:hyperlink>
      <w:bookmarkEnd w:id="0"/>
    </w:p>
    <w:p w:rsidR="00D3226D" w:rsidRDefault="00D3226D" w:rsidP="00D3226D">
      <w:pPr>
        <w:pStyle w:val="berschrift3"/>
        <w:jc w:val="right"/>
        <w:rPr>
          <w:rStyle w:val="1KursivChar"/>
          <w:b w:val="0"/>
          <w:bCs w:val="0"/>
          <w:i w:val="0"/>
          <w:iCs w:val="0"/>
          <w:sz w:val="20"/>
          <w:szCs w:val="20"/>
          <w:lang w:val="fr-FR"/>
        </w:rPr>
      </w:pPr>
      <w:r>
        <w:rPr>
          <w:rStyle w:val="1KursivChar"/>
          <w:b w:val="0"/>
          <w:i w:val="0"/>
          <w:sz w:val="20"/>
          <w:szCs w:val="20"/>
          <w:lang w:val="fr-FR"/>
        </w:rPr>
        <w:t>Marie-Charlotte Guetlein</w:t>
      </w:r>
      <w:r w:rsidRPr="00D3226D">
        <w:rPr>
          <w:rStyle w:val="1KursivChar"/>
          <w:b w:val="0"/>
          <w:i w:val="0"/>
          <w:sz w:val="20"/>
          <w:szCs w:val="20"/>
          <w:lang w:val="fr-FR"/>
        </w:rPr>
        <w:t xml:space="preserve">, Grenoble Ecole de Management, E-mail: </w:t>
      </w:r>
      <w:hyperlink r:id="rId5" w:history="1">
        <w:r w:rsidRPr="00FC3435">
          <w:rPr>
            <w:rStyle w:val="Hyperlink"/>
            <w:lang w:val="fr-FR"/>
          </w:rPr>
          <w:t>marie-charlotte.guetlein@grenoble-em.com</w:t>
        </w:r>
      </w:hyperlink>
    </w:p>
    <w:p w:rsidR="00D3226D" w:rsidRPr="00D34B4E" w:rsidRDefault="00D3226D" w:rsidP="00D34B4E">
      <w:pPr>
        <w:jc w:val="right"/>
        <w:rPr>
          <w:rStyle w:val="Hyperlink"/>
          <w:bCs/>
          <w:iCs/>
          <w:lang w:val="fr-FR"/>
        </w:rPr>
      </w:pPr>
      <w:r>
        <w:rPr>
          <w:rStyle w:val="1KursivChar"/>
          <w:b w:val="0"/>
          <w:i w:val="0"/>
          <w:noProof/>
          <w:sz w:val="20"/>
          <w:szCs w:val="20"/>
          <w:lang w:val="fr-FR"/>
        </w:rPr>
        <w:t xml:space="preserve">Gengyang Tu, </w:t>
      </w:r>
      <w:r w:rsidRPr="00D3226D">
        <w:rPr>
          <w:rStyle w:val="1KursivChar"/>
          <w:b w:val="0"/>
          <w:i w:val="0"/>
          <w:noProof/>
          <w:sz w:val="20"/>
          <w:szCs w:val="20"/>
          <w:lang w:val="fr-FR"/>
        </w:rPr>
        <w:t>École Supérieure d'Agricultu</w:t>
      </w:r>
      <w:r>
        <w:rPr>
          <w:rStyle w:val="1KursivChar"/>
          <w:b w:val="0"/>
          <w:i w:val="0"/>
          <w:noProof/>
          <w:sz w:val="20"/>
          <w:szCs w:val="20"/>
          <w:lang w:val="fr-FR"/>
        </w:rPr>
        <w:t xml:space="preserve">res, Université Bretagne Loire, </w:t>
      </w:r>
      <w:r w:rsidR="00D34B4E">
        <w:rPr>
          <w:rStyle w:val="1KursivChar"/>
          <w:b w:val="0"/>
          <w:i w:val="0"/>
          <w:noProof/>
          <w:sz w:val="20"/>
          <w:szCs w:val="20"/>
          <w:lang w:val="fr-FR"/>
        </w:rPr>
        <w:t xml:space="preserve">E-mail: </w:t>
      </w:r>
      <w:bookmarkStart w:id="1" w:name="_GoBack"/>
      <w:r w:rsidR="00D34B4E" w:rsidRPr="00D34B4E">
        <w:rPr>
          <w:rStyle w:val="Hyperlink"/>
          <w:noProof/>
          <w:sz w:val="20"/>
          <w:szCs w:val="20"/>
          <w:lang w:val="fr-FR"/>
        </w:rPr>
        <w:t>g.tu@groupe-esa.com</w:t>
      </w:r>
      <w:bookmarkEnd w:id="1"/>
    </w:p>
    <w:p w:rsidR="00394222" w:rsidRPr="00D3226D" w:rsidRDefault="00394222" w:rsidP="00777858">
      <w:pPr>
        <w:pStyle w:val="berschrift3"/>
        <w:jc w:val="right"/>
        <w:rPr>
          <w:lang w:val="fr-FR"/>
        </w:rPr>
      </w:pPr>
    </w:p>
    <w:p w:rsidR="00394222" w:rsidRPr="00713DEE" w:rsidRDefault="00394222" w:rsidP="00394222">
      <w:pPr>
        <w:pStyle w:val="berschrift4"/>
        <w:rPr>
          <w:b/>
          <w:noProof/>
          <w:lang w:val="en-US"/>
        </w:rPr>
      </w:pPr>
      <w:r w:rsidRPr="00713DEE">
        <w:rPr>
          <w:b/>
          <w:noProof/>
          <w:lang w:val="en-US"/>
        </w:rPr>
        <w:t>Overview</w:t>
      </w:r>
    </w:p>
    <w:p w:rsidR="004D1C35" w:rsidRPr="00BC5F16" w:rsidRDefault="00BC5F16" w:rsidP="00BC5F16">
      <w:pPr>
        <w:rPr>
          <w:noProof/>
          <w:sz w:val="20"/>
          <w:szCs w:val="20"/>
          <w:lang w:val="en-US"/>
        </w:rPr>
      </w:pPr>
      <w:r w:rsidRPr="00BC5F16">
        <w:rPr>
          <w:noProof/>
          <w:sz w:val="20"/>
          <w:szCs w:val="20"/>
          <w:lang w:val="en-US"/>
        </w:rPr>
        <w:t>The energy efficiency paradox postulates that individuals and organizations refrain from adopting energy-efficient technologies, even though these technologies appear profitable based on net present value calculations (e.g., Jaffe and Stavins, 1994). Following Gerarden et al. (2015), the factors explaining this paradox may be classified in three categories: (i) market failures such as incomplete contracts stemming from asymmetric information, split incentives, and agency issues; (ii) behavioral anomalies such as present bias, myopia and loss aversion; and (iii) measurement errors stemming among others from adopter preference heterogeneity.</w:t>
      </w:r>
      <w:r w:rsidR="00564946">
        <w:rPr>
          <w:noProof/>
          <w:sz w:val="20"/>
          <w:szCs w:val="20"/>
          <w:lang w:val="en-US"/>
        </w:rPr>
        <w:t xml:space="preserve"> </w:t>
      </w:r>
      <w:r w:rsidRPr="00BC5F16">
        <w:rPr>
          <w:noProof/>
          <w:sz w:val="20"/>
          <w:szCs w:val="20"/>
          <w:lang w:val="en-US"/>
        </w:rPr>
        <w:t>This paper addresses two of these categories, market failures and measurement errors, thereby investigating two novel facets for each: as market failure, we focus on conveyance (i.e., leaving one’s appliance for the next homeowner in the dwelling when moving out) as an example of incomplete contracts, and as measurement error, we focus on heterogeneity in envy, a relatively unstudied social preference.</w:t>
      </w:r>
    </w:p>
    <w:p w:rsidR="00571DA8" w:rsidRDefault="00571DA8" w:rsidP="00782F47">
      <w:pPr>
        <w:rPr>
          <w:noProof/>
          <w:sz w:val="20"/>
          <w:szCs w:val="20"/>
          <w:lang w:val="en-US"/>
        </w:rPr>
      </w:pPr>
    </w:p>
    <w:p w:rsidR="00E511E3" w:rsidRPr="00782F47" w:rsidRDefault="00BC5F16" w:rsidP="00782F47">
      <w:pPr>
        <w:rPr>
          <w:noProof/>
          <w:sz w:val="20"/>
          <w:szCs w:val="20"/>
          <w:lang w:val="en-US"/>
        </w:rPr>
      </w:pPr>
      <w:r w:rsidRPr="00BC5F16">
        <w:rPr>
          <w:noProof/>
          <w:sz w:val="20"/>
          <w:szCs w:val="20"/>
          <w:lang w:val="en-US"/>
        </w:rPr>
        <w:t xml:space="preserve">While the literature has long recognized the existence of the landlord-tenant </w:t>
      </w:r>
      <w:r w:rsidR="00A11FC6">
        <w:rPr>
          <w:noProof/>
          <w:sz w:val="20"/>
          <w:szCs w:val="20"/>
          <w:lang w:val="en-US"/>
        </w:rPr>
        <w:t xml:space="preserve">and other agency </w:t>
      </w:r>
      <w:r w:rsidRPr="00BC5F16">
        <w:rPr>
          <w:noProof/>
          <w:sz w:val="20"/>
          <w:szCs w:val="20"/>
          <w:lang w:val="en-US"/>
        </w:rPr>
        <w:t>problem</w:t>
      </w:r>
      <w:r w:rsidR="00A11FC6">
        <w:rPr>
          <w:noProof/>
          <w:sz w:val="20"/>
          <w:szCs w:val="20"/>
          <w:lang w:val="en-US"/>
        </w:rPr>
        <w:t>s</w:t>
      </w:r>
      <w:r w:rsidRPr="00BC5F16">
        <w:rPr>
          <w:noProof/>
          <w:sz w:val="20"/>
          <w:szCs w:val="20"/>
          <w:lang w:val="en-US"/>
        </w:rPr>
        <w:t xml:space="preserve"> (</w:t>
      </w:r>
      <w:r w:rsidR="008F1E86">
        <w:rPr>
          <w:noProof/>
          <w:sz w:val="20"/>
          <w:szCs w:val="20"/>
          <w:lang w:val="en-US"/>
        </w:rPr>
        <w:t xml:space="preserve">e.g. </w:t>
      </w:r>
      <w:r w:rsidR="00571DA8">
        <w:rPr>
          <w:noProof/>
          <w:sz w:val="20"/>
          <w:szCs w:val="20"/>
          <w:lang w:val="en-US"/>
        </w:rPr>
        <w:t>Davis, 2012</w:t>
      </w:r>
      <w:r w:rsidR="00A11FC6">
        <w:rPr>
          <w:noProof/>
          <w:sz w:val="20"/>
          <w:szCs w:val="20"/>
          <w:lang w:val="en-US"/>
        </w:rPr>
        <w:t>; Olsthoorn et al. 2017</w:t>
      </w:r>
      <w:r w:rsidRPr="00BC5F16">
        <w:rPr>
          <w:noProof/>
          <w:sz w:val="20"/>
          <w:szCs w:val="20"/>
          <w:lang w:val="en-US"/>
        </w:rPr>
        <w:t xml:space="preserve">), Sandler (2018) recently brought to the fore another type of in-complete contract for homeowners: conveyance. Specifically, Sandler (2018) suggests that the fact that appliances convey may lead homeowners to purchase less energy-efficient products, because conveyance shortens the expected length of ownership. The discounted present value of an appliance purchase may therefore be lower than what it would be if the appliance had been kept for its entire useful lifetime - unless the value of the investment is fully capitalized into the real estate sales price. </w:t>
      </w:r>
      <w:r w:rsidR="008F1E86">
        <w:rPr>
          <w:noProof/>
          <w:sz w:val="20"/>
          <w:szCs w:val="20"/>
          <w:lang w:val="en-US"/>
        </w:rPr>
        <w:t>C</w:t>
      </w:r>
      <w:r w:rsidRPr="00BC5F16">
        <w:rPr>
          <w:noProof/>
          <w:sz w:val="20"/>
          <w:szCs w:val="20"/>
          <w:lang w:val="en-US"/>
        </w:rPr>
        <w:t xml:space="preserve">apitalization </w:t>
      </w:r>
      <w:r w:rsidR="008F1E86">
        <w:rPr>
          <w:noProof/>
          <w:sz w:val="20"/>
          <w:szCs w:val="20"/>
          <w:lang w:val="en-US"/>
        </w:rPr>
        <w:t xml:space="preserve">may be incomplete because </w:t>
      </w:r>
      <w:r w:rsidRPr="00BC5F16">
        <w:rPr>
          <w:noProof/>
          <w:sz w:val="20"/>
          <w:szCs w:val="20"/>
          <w:lang w:val="en-US"/>
        </w:rPr>
        <w:t>preferences of original and new own</w:t>
      </w:r>
      <w:r>
        <w:rPr>
          <w:noProof/>
          <w:sz w:val="20"/>
          <w:szCs w:val="20"/>
          <w:lang w:val="en-US"/>
        </w:rPr>
        <w:t>ers may differ</w:t>
      </w:r>
      <w:r w:rsidR="00F25D0E">
        <w:rPr>
          <w:noProof/>
          <w:sz w:val="20"/>
          <w:szCs w:val="20"/>
          <w:lang w:val="en-US"/>
        </w:rPr>
        <w:t xml:space="preserve"> and ro</w:t>
      </w:r>
      <w:r w:rsidRPr="00BC5F16">
        <w:rPr>
          <w:noProof/>
          <w:sz w:val="20"/>
          <w:szCs w:val="20"/>
          <w:lang w:val="en-US"/>
        </w:rPr>
        <w:t>unding off (housing prices are typically rounded off to the ne</w:t>
      </w:r>
      <w:r w:rsidR="00F25D0E">
        <w:rPr>
          <w:noProof/>
          <w:sz w:val="20"/>
          <w:szCs w:val="20"/>
          <w:lang w:val="en-US"/>
        </w:rPr>
        <w:t>arest thousand dollars, yet dif</w:t>
      </w:r>
      <w:r w:rsidRPr="00BC5F16">
        <w:rPr>
          <w:noProof/>
          <w:sz w:val="20"/>
          <w:szCs w:val="20"/>
          <w:lang w:val="en-US"/>
        </w:rPr>
        <w:t xml:space="preserve">ferences in costs of energy-efficient versus non energy-efficient appliances are a few hundred dollars, at most). </w:t>
      </w:r>
      <w:r w:rsidR="00782F47" w:rsidRPr="00782F47">
        <w:rPr>
          <w:noProof/>
          <w:sz w:val="20"/>
          <w:szCs w:val="20"/>
          <w:lang w:val="en-US"/>
        </w:rPr>
        <w:t>Sandler (2018) further finds “suggestive evidence</w:t>
      </w:r>
      <w:r w:rsidR="00782F47">
        <w:rPr>
          <w:noProof/>
          <w:sz w:val="20"/>
          <w:szCs w:val="20"/>
          <w:lang w:val="en-US"/>
        </w:rPr>
        <w:t>”</w:t>
      </w:r>
      <w:r w:rsidR="00782F47" w:rsidRPr="00782F47">
        <w:rPr>
          <w:noProof/>
          <w:sz w:val="20"/>
          <w:szCs w:val="20"/>
          <w:lang w:val="en-US"/>
        </w:rPr>
        <w:t xml:space="preserve"> that in federal states in which conveyance dominates, consumers tend to purchase refrigerator</w:t>
      </w:r>
      <w:r w:rsidR="00782F47">
        <w:rPr>
          <w:noProof/>
          <w:sz w:val="20"/>
          <w:szCs w:val="20"/>
          <w:lang w:val="en-US"/>
        </w:rPr>
        <w:t>s with lower energy performance.</w:t>
      </w:r>
    </w:p>
    <w:p w:rsidR="00571DA8" w:rsidRDefault="00571DA8" w:rsidP="00D972E7">
      <w:pPr>
        <w:rPr>
          <w:noProof/>
          <w:sz w:val="20"/>
          <w:szCs w:val="20"/>
          <w:lang w:val="en-US"/>
        </w:rPr>
      </w:pPr>
    </w:p>
    <w:p w:rsidR="00D972E7" w:rsidRDefault="00D972E7" w:rsidP="00D972E7">
      <w:pPr>
        <w:rPr>
          <w:noProof/>
          <w:sz w:val="20"/>
          <w:szCs w:val="20"/>
          <w:lang w:val="en-US"/>
        </w:rPr>
      </w:pPr>
      <w:r w:rsidRPr="00D972E7">
        <w:rPr>
          <w:noProof/>
          <w:sz w:val="20"/>
          <w:szCs w:val="20"/>
          <w:lang w:val="en-US"/>
        </w:rPr>
        <w:t>In the context of conveyance, the fact that the appliance adopted will be used by the future house buyer adds a concrete social dimension; as a consequence, socially-centered preferences, especially envy, may affect the characteristics of the chosen appliance. Since the value of individual appliances is not fully capitalized into housing prices, envious potential house sellers might resent the fact that house buyers get high quality appliances at little to no extra cost</w:t>
      </w:r>
      <w:r>
        <w:rPr>
          <w:noProof/>
          <w:sz w:val="20"/>
          <w:szCs w:val="20"/>
          <w:lang w:val="en-US"/>
        </w:rPr>
        <w:t xml:space="preserve">. </w:t>
      </w:r>
    </w:p>
    <w:p w:rsidR="00571DA8" w:rsidRDefault="00571DA8" w:rsidP="0074449E">
      <w:pPr>
        <w:rPr>
          <w:noProof/>
          <w:sz w:val="20"/>
          <w:szCs w:val="20"/>
          <w:lang w:val="en-US"/>
        </w:rPr>
      </w:pPr>
    </w:p>
    <w:p w:rsidR="002E671D" w:rsidRPr="0074449E" w:rsidRDefault="00F25D0E" w:rsidP="0074449E">
      <w:pPr>
        <w:rPr>
          <w:noProof/>
          <w:sz w:val="20"/>
          <w:szCs w:val="20"/>
          <w:lang w:val="en-US"/>
        </w:rPr>
      </w:pPr>
      <w:r>
        <w:rPr>
          <w:noProof/>
          <w:sz w:val="20"/>
          <w:szCs w:val="20"/>
          <w:lang w:val="en-US"/>
        </w:rPr>
        <w:t>In</w:t>
      </w:r>
      <w:r w:rsidR="00D972E7" w:rsidRPr="00D972E7">
        <w:rPr>
          <w:noProof/>
          <w:sz w:val="20"/>
          <w:szCs w:val="20"/>
          <w:lang w:val="en-US"/>
        </w:rPr>
        <w:t xml:space="preserve"> this paper we investigate the impact of expected conveyance on homeowners’ willingness-to-pay</w:t>
      </w:r>
      <w:r w:rsidR="00ED417A">
        <w:rPr>
          <w:noProof/>
          <w:sz w:val="20"/>
          <w:szCs w:val="20"/>
          <w:lang w:val="en-US"/>
        </w:rPr>
        <w:t xml:space="preserve"> (WTP)</w:t>
      </w:r>
      <w:r w:rsidR="00D972E7" w:rsidRPr="00D972E7">
        <w:rPr>
          <w:noProof/>
          <w:sz w:val="20"/>
          <w:szCs w:val="20"/>
          <w:lang w:val="en-US"/>
        </w:rPr>
        <w:t xml:space="preserve"> for attributes of new refrigerators (including energy efficiency) and also analyze the moderating role of envy on willingness-to-pay for these attributes. To do so, we conducted a survey among homeowners in the U.S., which i</w:t>
      </w:r>
      <w:r w:rsidR="00D972E7">
        <w:rPr>
          <w:noProof/>
          <w:sz w:val="20"/>
          <w:szCs w:val="20"/>
          <w:lang w:val="en-US"/>
        </w:rPr>
        <w:t>ncluded a discrete choice exper</w:t>
      </w:r>
      <w:r w:rsidR="00D972E7" w:rsidRPr="00D972E7">
        <w:rPr>
          <w:noProof/>
          <w:sz w:val="20"/>
          <w:szCs w:val="20"/>
          <w:lang w:val="en-US"/>
        </w:rPr>
        <w:t>iment and an incentivized envy game.</w:t>
      </w:r>
      <w:r w:rsidR="0074449E">
        <w:rPr>
          <w:noProof/>
          <w:sz w:val="20"/>
          <w:szCs w:val="20"/>
          <w:lang w:val="en-US"/>
        </w:rPr>
        <w:t xml:space="preserve"> </w:t>
      </w:r>
      <w:r w:rsidR="0074449E" w:rsidRPr="0074449E">
        <w:rPr>
          <w:noProof/>
          <w:sz w:val="20"/>
          <w:szCs w:val="20"/>
          <w:lang w:val="en-US"/>
        </w:rPr>
        <w:t xml:space="preserve">We chose to focus on the U.S. market because mobility in the U.S. is rather high and conveyance of major appliances </w:t>
      </w:r>
      <w:r w:rsidR="004C1054">
        <w:rPr>
          <w:noProof/>
          <w:sz w:val="20"/>
          <w:szCs w:val="20"/>
          <w:lang w:val="en-US"/>
        </w:rPr>
        <w:t xml:space="preserve">is </w:t>
      </w:r>
      <w:r w:rsidR="0074449E" w:rsidRPr="0074449E">
        <w:rPr>
          <w:noProof/>
          <w:sz w:val="20"/>
          <w:szCs w:val="20"/>
          <w:lang w:val="en-US"/>
        </w:rPr>
        <w:t>quite common.</w:t>
      </w:r>
    </w:p>
    <w:p w:rsidR="00394222" w:rsidRPr="00713DEE" w:rsidRDefault="00394222" w:rsidP="00394222">
      <w:pPr>
        <w:pStyle w:val="berschrift4"/>
        <w:rPr>
          <w:b/>
          <w:noProof/>
          <w:lang w:val="en-US"/>
        </w:rPr>
      </w:pPr>
      <w:r w:rsidRPr="00713DEE">
        <w:rPr>
          <w:b/>
          <w:noProof/>
          <w:lang w:val="en-US"/>
        </w:rPr>
        <w:t>Methods</w:t>
      </w:r>
    </w:p>
    <w:p w:rsidR="004C1054" w:rsidRDefault="0074449E" w:rsidP="000A0BCF">
      <w:pPr>
        <w:rPr>
          <w:noProof/>
          <w:sz w:val="20"/>
          <w:szCs w:val="20"/>
          <w:lang w:val="en-US"/>
        </w:rPr>
      </w:pPr>
      <w:r w:rsidRPr="0074449E">
        <w:rPr>
          <w:noProof/>
          <w:sz w:val="20"/>
          <w:szCs w:val="20"/>
          <w:lang w:val="en-US"/>
        </w:rPr>
        <w:t xml:space="preserve">We implemented an online survey </w:t>
      </w:r>
      <w:r w:rsidR="004C1054" w:rsidRPr="0074449E">
        <w:rPr>
          <w:noProof/>
          <w:sz w:val="20"/>
          <w:szCs w:val="20"/>
          <w:lang w:val="en-US"/>
        </w:rPr>
        <w:t>in June 2018</w:t>
      </w:r>
      <w:r w:rsidR="004C1054">
        <w:rPr>
          <w:noProof/>
          <w:sz w:val="20"/>
          <w:szCs w:val="20"/>
          <w:lang w:val="en-US"/>
        </w:rPr>
        <w:t xml:space="preserve"> </w:t>
      </w:r>
      <w:r w:rsidRPr="0074449E">
        <w:rPr>
          <w:noProof/>
          <w:sz w:val="20"/>
          <w:szCs w:val="20"/>
          <w:lang w:val="en-US"/>
        </w:rPr>
        <w:t>via computer-assisted web interviews among 504 homeowners in the U.S. using an existing panel from Prolific Academic. Participants were selected via quota sampling to be roughly representative in terms of gender and regional population dispersion; only participants who reported being involved in their household’s investment decisions were qualified for the survey.</w:t>
      </w:r>
      <w:r>
        <w:rPr>
          <w:noProof/>
          <w:sz w:val="20"/>
          <w:szCs w:val="20"/>
          <w:lang w:val="en-US"/>
        </w:rPr>
        <w:t xml:space="preserve"> </w:t>
      </w:r>
      <w:r w:rsidRPr="0074449E">
        <w:rPr>
          <w:noProof/>
          <w:sz w:val="20"/>
          <w:szCs w:val="20"/>
          <w:lang w:val="en-US"/>
        </w:rPr>
        <w:t xml:space="preserve">The survey </w:t>
      </w:r>
      <w:r w:rsidR="004C1054">
        <w:rPr>
          <w:noProof/>
          <w:sz w:val="20"/>
          <w:szCs w:val="20"/>
          <w:lang w:val="en-US"/>
        </w:rPr>
        <w:t xml:space="preserve">included </w:t>
      </w:r>
      <w:r w:rsidRPr="0074449E">
        <w:rPr>
          <w:noProof/>
          <w:sz w:val="20"/>
          <w:szCs w:val="20"/>
          <w:lang w:val="en-US"/>
        </w:rPr>
        <w:t>a stated preference</w:t>
      </w:r>
      <w:r w:rsidR="00BA63C8">
        <w:rPr>
          <w:noProof/>
          <w:sz w:val="20"/>
          <w:szCs w:val="20"/>
          <w:lang w:val="en-US"/>
        </w:rPr>
        <w:t xml:space="preserve"> discrete choice experiment. </w:t>
      </w:r>
      <w:r w:rsidRPr="0074449E">
        <w:rPr>
          <w:noProof/>
          <w:sz w:val="20"/>
          <w:szCs w:val="20"/>
          <w:lang w:val="en-US"/>
        </w:rPr>
        <w:t>Participants were asked to imagine that their refrigerator had broken down and thus needed to be replaced.</w:t>
      </w:r>
      <w:r>
        <w:rPr>
          <w:noProof/>
          <w:sz w:val="20"/>
          <w:szCs w:val="20"/>
          <w:lang w:val="en-US"/>
        </w:rPr>
        <w:t xml:space="preserve"> </w:t>
      </w:r>
      <w:r w:rsidRPr="0074449E">
        <w:rPr>
          <w:noProof/>
          <w:sz w:val="20"/>
          <w:szCs w:val="20"/>
          <w:lang w:val="en-US"/>
        </w:rPr>
        <w:t>Respondents were then asked to make a series of choices bet</w:t>
      </w:r>
      <w:r w:rsidR="00F25D0E">
        <w:rPr>
          <w:noProof/>
          <w:sz w:val="20"/>
          <w:szCs w:val="20"/>
          <w:lang w:val="en-US"/>
        </w:rPr>
        <w:t>ween different refrigerator pur</w:t>
      </w:r>
      <w:r w:rsidRPr="0074449E">
        <w:rPr>
          <w:noProof/>
          <w:sz w:val="20"/>
          <w:szCs w:val="20"/>
          <w:lang w:val="en-US"/>
        </w:rPr>
        <w:t>chase options</w:t>
      </w:r>
      <w:r w:rsidR="00BA63C8">
        <w:rPr>
          <w:noProof/>
          <w:sz w:val="20"/>
          <w:szCs w:val="20"/>
          <w:lang w:val="en-US"/>
        </w:rPr>
        <w:t xml:space="preserve"> differing </w:t>
      </w:r>
      <w:r w:rsidRPr="0074449E">
        <w:rPr>
          <w:noProof/>
          <w:sz w:val="20"/>
          <w:szCs w:val="20"/>
          <w:lang w:val="en-US"/>
        </w:rPr>
        <w:t>by energy consumption, capacity, length of warranty, brand, customer review ratings, and purchase price (</w:t>
      </w:r>
      <w:r w:rsidR="00BA63C8">
        <w:rPr>
          <w:noProof/>
          <w:sz w:val="20"/>
          <w:szCs w:val="20"/>
          <w:lang w:val="en-US"/>
        </w:rPr>
        <w:t>see</w:t>
      </w:r>
      <w:r w:rsidRPr="0074449E">
        <w:rPr>
          <w:noProof/>
          <w:sz w:val="20"/>
          <w:szCs w:val="20"/>
          <w:lang w:val="en-US"/>
        </w:rPr>
        <w:t xml:space="preserve"> Table 1). The attributes energy consumption, capacity, brand, and purchase price have already been used in choice experiments on refrigerator purchase (Ward et al. 2011). We added to this list two quality attributes: length of warranty and customer review ratings.</w:t>
      </w:r>
      <w:r w:rsidR="004C1054">
        <w:rPr>
          <w:noProof/>
          <w:sz w:val="20"/>
          <w:szCs w:val="20"/>
          <w:lang w:val="en-US"/>
        </w:rPr>
        <w:t xml:space="preserve"> </w:t>
      </w:r>
      <w:r w:rsidR="004C1054" w:rsidRPr="004353FE">
        <w:rPr>
          <w:noProof/>
          <w:sz w:val="20"/>
          <w:szCs w:val="20"/>
          <w:lang w:val="en-US"/>
        </w:rPr>
        <w:t>To incr</w:t>
      </w:r>
      <w:r w:rsidR="004C1054">
        <w:rPr>
          <w:noProof/>
          <w:sz w:val="20"/>
          <w:szCs w:val="20"/>
          <w:lang w:val="en-US"/>
        </w:rPr>
        <w:t>ease the efficiency of de</w:t>
      </w:r>
      <w:r w:rsidR="004C1054" w:rsidRPr="004353FE">
        <w:rPr>
          <w:noProof/>
          <w:sz w:val="20"/>
          <w:szCs w:val="20"/>
          <w:lang w:val="en-US"/>
        </w:rPr>
        <w:t>sign, we applied a Bayesian efficient design</w:t>
      </w:r>
      <w:r w:rsidR="004C1054">
        <w:rPr>
          <w:noProof/>
          <w:sz w:val="20"/>
          <w:szCs w:val="20"/>
          <w:lang w:val="en-US"/>
        </w:rPr>
        <w:t xml:space="preserve">. </w:t>
      </w:r>
      <w:r w:rsidR="004C1054" w:rsidRPr="004353FE">
        <w:rPr>
          <w:noProof/>
          <w:sz w:val="20"/>
          <w:szCs w:val="20"/>
          <w:lang w:val="en-US"/>
        </w:rPr>
        <w:t>The priors used for the design were obtained from a pilot study with 50 U.S. homeowners. Our choice experiment consisted of 24 scenarios divided into three blocks. Each respondent was randomly assigned to one of the bl</w:t>
      </w:r>
      <w:r w:rsidR="004C1054">
        <w:rPr>
          <w:noProof/>
          <w:sz w:val="20"/>
          <w:szCs w:val="20"/>
          <w:lang w:val="en-US"/>
        </w:rPr>
        <w:t>ocks and faced eight scenarios.</w:t>
      </w:r>
    </w:p>
    <w:p w:rsidR="000A0BCF" w:rsidRDefault="000A0BCF" w:rsidP="000A0BCF">
      <w:pPr>
        <w:rPr>
          <w:noProof/>
          <w:sz w:val="20"/>
          <w:szCs w:val="20"/>
          <w:lang w:val="en-US"/>
        </w:rPr>
      </w:pPr>
      <w:r>
        <w:rPr>
          <w:noProof/>
          <w:sz w:val="20"/>
          <w:szCs w:val="20"/>
          <w:lang w:val="en-US"/>
        </w:rPr>
        <w:lastRenderedPageBreak/>
        <w:t xml:space="preserve">Table 1: </w:t>
      </w:r>
      <w:r w:rsidRPr="004353FE">
        <w:rPr>
          <w:noProof/>
          <w:sz w:val="20"/>
          <w:szCs w:val="20"/>
          <w:lang w:val="en-US"/>
        </w:rPr>
        <w:t>Levels of different attributes considered in the choice experiment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55"/>
        <w:gridCol w:w="6907"/>
      </w:tblGrid>
      <w:tr w:rsidR="000A0BCF" w:rsidRPr="00E00C4C" w:rsidTr="000A0BCF">
        <w:trPr>
          <w:trHeight w:val="284"/>
        </w:trPr>
        <w:tc>
          <w:tcPr>
            <w:tcW w:w="2155" w:type="dxa"/>
            <w:tcBorders>
              <w:left w:val="nil"/>
              <w:bottom w:val="double" w:sz="4" w:space="0" w:color="auto"/>
            </w:tcBorders>
            <w:shd w:val="clear" w:color="auto" w:fill="auto"/>
            <w:vAlign w:val="center"/>
          </w:tcPr>
          <w:p w:rsidR="000A0BCF" w:rsidRPr="00E00C4C" w:rsidRDefault="000A0BCF" w:rsidP="000A0BCF">
            <w:pPr>
              <w:contextualSpacing/>
              <w:rPr>
                <w:sz w:val="20"/>
                <w:szCs w:val="20"/>
              </w:rPr>
            </w:pPr>
            <w:r w:rsidRPr="00E00C4C">
              <w:rPr>
                <w:sz w:val="20"/>
                <w:szCs w:val="20"/>
              </w:rPr>
              <w:t>Attribute</w:t>
            </w:r>
          </w:p>
        </w:tc>
        <w:tc>
          <w:tcPr>
            <w:tcW w:w="6907" w:type="dxa"/>
            <w:tcBorders>
              <w:bottom w:val="double" w:sz="4" w:space="0" w:color="auto"/>
              <w:right w:val="nil"/>
            </w:tcBorders>
            <w:shd w:val="clear" w:color="auto" w:fill="auto"/>
            <w:vAlign w:val="center"/>
          </w:tcPr>
          <w:p w:rsidR="000A0BCF" w:rsidRPr="00E00C4C" w:rsidRDefault="000A0BCF" w:rsidP="000A0BCF">
            <w:pPr>
              <w:contextualSpacing/>
              <w:rPr>
                <w:sz w:val="20"/>
                <w:szCs w:val="20"/>
              </w:rPr>
            </w:pPr>
            <w:r w:rsidRPr="00E00C4C">
              <w:rPr>
                <w:sz w:val="20"/>
                <w:szCs w:val="20"/>
              </w:rPr>
              <w:t>Levels</w:t>
            </w:r>
          </w:p>
        </w:tc>
      </w:tr>
      <w:tr w:rsidR="000A0BCF" w:rsidRPr="00E00C4C" w:rsidTr="000A0BCF">
        <w:trPr>
          <w:trHeight w:val="284"/>
        </w:trPr>
        <w:tc>
          <w:tcPr>
            <w:tcW w:w="2155" w:type="dxa"/>
            <w:tcBorders>
              <w:top w:val="double" w:sz="4" w:space="0" w:color="auto"/>
              <w:left w:val="nil"/>
              <w:bottom w:val="nil"/>
            </w:tcBorders>
            <w:shd w:val="clear" w:color="auto" w:fill="auto"/>
            <w:vAlign w:val="center"/>
          </w:tcPr>
          <w:p w:rsidR="000A0BCF" w:rsidRPr="00E00C4C" w:rsidRDefault="000A0BCF" w:rsidP="000A0BCF">
            <w:pPr>
              <w:contextualSpacing/>
              <w:rPr>
                <w:sz w:val="20"/>
                <w:szCs w:val="20"/>
              </w:rPr>
            </w:pPr>
            <w:r w:rsidRPr="00E00C4C">
              <w:rPr>
                <w:sz w:val="20"/>
                <w:szCs w:val="20"/>
              </w:rPr>
              <w:t>Energy cost</w:t>
            </w:r>
          </w:p>
        </w:tc>
        <w:tc>
          <w:tcPr>
            <w:tcW w:w="6907" w:type="dxa"/>
            <w:tcBorders>
              <w:top w:val="double" w:sz="4" w:space="0" w:color="auto"/>
              <w:bottom w:val="nil"/>
              <w:right w:val="nil"/>
            </w:tcBorders>
            <w:shd w:val="clear" w:color="auto" w:fill="auto"/>
            <w:vAlign w:val="center"/>
          </w:tcPr>
          <w:p w:rsidR="000A0BCF" w:rsidRPr="00E00C4C" w:rsidRDefault="000A0BCF" w:rsidP="000A0BCF">
            <w:pPr>
              <w:contextualSpacing/>
              <w:rPr>
                <w:sz w:val="20"/>
                <w:szCs w:val="20"/>
                <w:vertAlign w:val="superscript"/>
              </w:rPr>
            </w:pPr>
            <w:r w:rsidRPr="00E00C4C">
              <w:rPr>
                <w:sz w:val="20"/>
                <w:szCs w:val="20"/>
              </w:rPr>
              <w:t>$54; $66; $78; $90</w:t>
            </w:r>
          </w:p>
        </w:tc>
      </w:tr>
      <w:tr w:rsidR="000A0BCF" w:rsidRPr="00E00C4C" w:rsidTr="000A0BCF">
        <w:trPr>
          <w:trHeight w:val="284"/>
        </w:trPr>
        <w:tc>
          <w:tcPr>
            <w:tcW w:w="2155" w:type="dxa"/>
            <w:tcBorders>
              <w:top w:val="nil"/>
              <w:left w:val="nil"/>
              <w:bottom w:val="nil"/>
            </w:tcBorders>
            <w:shd w:val="clear" w:color="auto" w:fill="auto"/>
            <w:vAlign w:val="center"/>
          </w:tcPr>
          <w:p w:rsidR="000A0BCF" w:rsidRPr="00E00C4C" w:rsidRDefault="000A0BCF" w:rsidP="000A0BCF">
            <w:pPr>
              <w:contextualSpacing/>
              <w:rPr>
                <w:sz w:val="20"/>
                <w:szCs w:val="20"/>
              </w:rPr>
            </w:pPr>
            <w:r w:rsidRPr="00E00C4C">
              <w:rPr>
                <w:sz w:val="20"/>
                <w:szCs w:val="20"/>
              </w:rPr>
              <w:t>Capacity</w:t>
            </w:r>
          </w:p>
        </w:tc>
        <w:tc>
          <w:tcPr>
            <w:tcW w:w="6907" w:type="dxa"/>
            <w:tcBorders>
              <w:top w:val="nil"/>
              <w:bottom w:val="nil"/>
              <w:right w:val="nil"/>
            </w:tcBorders>
            <w:shd w:val="clear" w:color="auto" w:fill="auto"/>
            <w:vAlign w:val="center"/>
          </w:tcPr>
          <w:p w:rsidR="000A0BCF" w:rsidRPr="00E00C4C" w:rsidRDefault="000A0BCF" w:rsidP="000A0BCF">
            <w:pPr>
              <w:contextualSpacing/>
              <w:rPr>
                <w:sz w:val="20"/>
                <w:szCs w:val="20"/>
              </w:rPr>
            </w:pPr>
            <w:r w:rsidRPr="00E00C4C">
              <w:rPr>
                <w:sz w:val="20"/>
                <w:szCs w:val="20"/>
              </w:rPr>
              <w:t>18 cu. ft.; 20 cu. ft.; 22 cu. ft.; 24 cu. ft.; 26 cu. ft.; 28 cu. ft.</w:t>
            </w:r>
          </w:p>
        </w:tc>
      </w:tr>
      <w:tr w:rsidR="000A0BCF" w:rsidRPr="00E00C4C" w:rsidTr="000A0BCF">
        <w:trPr>
          <w:trHeight w:val="284"/>
        </w:trPr>
        <w:tc>
          <w:tcPr>
            <w:tcW w:w="2155" w:type="dxa"/>
            <w:tcBorders>
              <w:top w:val="nil"/>
              <w:left w:val="nil"/>
              <w:bottom w:val="nil"/>
            </w:tcBorders>
            <w:shd w:val="clear" w:color="auto" w:fill="auto"/>
            <w:vAlign w:val="center"/>
          </w:tcPr>
          <w:p w:rsidR="000A0BCF" w:rsidRPr="00E00C4C" w:rsidRDefault="000A0BCF" w:rsidP="000A0BCF">
            <w:pPr>
              <w:contextualSpacing/>
              <w:rPr>
                <w:sz w:val="20"/>
                <w:szCs w:val="20"/>
              </w:rPr>
            </w:pPr>
            <w:r w:rsidRPr="00E00C4C">
              <w:rPr>
                <w:sz w:val="20"/>
                <w:szCs w:val="20"/>
              </w:rPr>
              <w:t>Warranty</w:t>
            </w:r>
          </w:p>
        </w:tc>
        <w:tc>
          <w:tcPr>
            <w:tcW w:w="6907" w:type="dxa"/>
            <w:tcBorders>
              <w:top w:val="nil"/>
              <w:bottom w:val="nil"/>
              <w:right w:val="nil"/>
            </w:tcBorders>
            <w:shd w:val="clear" w:color="auto" w:fill="auto"/>
            <w:vAlign w:val="center"/>
          </w:tcPr>
          <w:p w:rsidR="000A0BCF" w:rsidRPr="00E00C4C" w:rsidRDefault="000A0BCF" w:rsidP="000A0BCF">
            <w:pPr>
              <w:contextualSpacing/>
              <w:rPr>
                <w:sz w:val="20"/>
                <w:szCs w:val="20"/>
              </w:rPr>
            </w:pPr>
            <w:r w:rsidRPr="00E00C4C">
              <w:rPr>
                <w:sz w:val="20"/>
                <w:szCs w:val="20"/>
              </w:rPr>
              <w:t>1 year; 3 years; 5 years</w:t>
            </w:r>
          </w:p>
        </w:tc>
      </w:tr>
      <w:tr w:rsidR="000A0BCF" w:rsidRPr="00E00C4C" w:rsidTr="000A0BCF">
        <w:trPr>
          <w:trHeight w:val="284"/>
        </w:trPr>
        <w:tc>
          <w:tcPr>
            <w:tcW w:w="2155" w:type="dxa"/>
            <w:tcBorders>
              <w:top w:val="nil"/>
              <w:left w:val="nil"/>
              <w:bottom w:val="nil"/>
            </w:tcBorders>
            <w:shd w:val="clear" w:color="auto" w:fill="auto"/>
            <w:vAlign w:val="center"/>
          </w:tcPr>
          <w:p w:rsidR="000A0BCF" w:rsidRPr="00E00C4C" w:rsidRDefault="000A0BCF" w:rsidP="000A0BCF">
            <w:pPr>
              <w:contextualSpacing/>
              <w:rPr>
                <w:sz w:val="20"/>
                <w:szCs w:val="20"/>
              </w:rPr>
            </w:pPr>
            <w:r w:rsidRPr="00E00C4C">
              <w:rPr>
                <w:sz w:val="20"/>
                <w:szCs w:val="20"/>
              </w:rPr>
              <w:t>Brand</w:t>
            </w:r>
          </w:p>
        </w:tc>
        <w:tc>
          <w:tcPr>
            <w:tcW w:w="6907" w:type="dxa"/>
            <w:tcBorders>
              <w:top w:val="nil"/>
              <w:bottom w:val="nil"/>
              <w:right w:val="nil"/>
            </w:tcBorders>
            <w:shd w:val="clear" w:color="auto" w:fill="auto"/>
            <w:vAlign w:val="center"/>
          </w:tcPr>
          <w:p w:rsidR="000A0BCF" w:rsidRPr="00E00C4C" w:rsidRDefault="000A0BCF" w:rsidP="000A0BCF">
            <w:pPr>
              <w:contextualSpacing/>
              <w:rPr>
                <w:sz w:val="20"/>
                <w:szCs w:val="20"/>
                <w:lang w:val="en-US"/>
              </w:rPr>
            </w:pPr>
            <w:r w:rsidRPr="00E00C4C">
              <w:rPr>
                <w:sz w:val="20"/>
                <w:szCs w:val="20"/>
                <w:lang w:val="en-US"/>
              </w:rPr>
              <w:t>Well-known quality brand; lesser-known brand</w:t>
            </w:r>
          </w:p>
        </w:tc>
      </w:tr>
      <w:tr w:rsidR="000A0BCF" w:rsidRPr="00E00C4C" w:rsidTr="000A0BCF">
        <w:trPr>
          <w:trHeight w:val="284"/>
        </w:trPr>
        <w:tc>
          <w:tcPr>
            <w:tcW w:w="2155" w:type="dxa"/>
            <w:tcBorders>
              <w:top w:val="nil"/>
              <w:left w:val="nil"/>
              <w:bottom w:val="nil"/>
            </w:tcBorders>
            <w:shd w:val="clear" w:color="auto" w:fill="auto"/>
            <w:vAlign w:val="center"/>
          </w:tcPr>
          <w:p w:rsidR="000A0BCF" w:rsidRPr="00E00C4C" w:rsidRDefault="000A0BCF" w:rsidP="000A0BCF">
            <w:pPr>
              <w:contextualSpacing/>
              <w:rPr>
                <w:sz w:val="20"/>
                <w:szCs w:val="20"/>
              </w:rPr>
            </w:pPr>
            <w:r w:rsidRPr="00E00C4C">
              <w:rPr>
                <w:sz w:val="20"/>
                <w:szCs w:val="20"/>
              </w:rPr>
              <w:t>Customer review</w:t>
            </w:r>
          </w:p>
        </w:tc>
        <w:tc>
          <w:tcPr>
            <w:tcW w:w="6907" w:type="dxa"/>
            <w:tcBorders>
              <w:top w:val="nil"/>
              <w:bottom w:val="nil"/>
              <w:right w:val="nil"/>
            </w:tcBorders>
            <w:shd w:val="clear" w:color="auto" w:fill="auto"/>
            <w:vAlign w:val="center"/>
          </w:tcPr>
          <w:p w:rsidR="000A0BCF" w:rsidRPr="00E00C4C" w:rsidRDefault="000A0BCF" w:rsidP="000A0BCF">
            <w:pPr>
              <w:contextualSpacing/>
              <w:rPr>
                <w:sz w:val="20"/>
                <w:szCs w:val="20"/>
              </w:rPr>
            </w:pPr>
            <w:r w:rsidRPr="00E00C4C">
              <w:rPr>
                <w:sz w:val="20"/>
                <w:szCs w:val="20"/>
              </w:rPr>
              <w:t>2.5/5 stars; 3.5/5 stars; 4.5/5 stars</w:t>
            </w:r>
          </w:p>
        </w:tc>
      </w:tr>
      <w:tr w:rsidR="000A0BCF" w:rsidRPr="00E00C4C" w:rsidTr="000A0BCF">
        <w:trPr>
          <w:trHeight w:val="284"/>
        </w:trPr>
        <w:tc>
          <w:tcPr>
            <w:tcW w:w="2155" w:type="dxa"/>
            <w:tcBorders>
              <w:top w:val="nil"/>
              <w:left w:val="nil"/>
              <w:bottom w:val="single" w:sz="4" w:space="0" w:color="auto"/>
            </w:tcBorders>
            <w:shd w:val="clear" w:color="auto" w:fill="auto"/>
            <w:vAlign w:val="center"/>
          </w:tcPr>
          <w:p w:rsidR="000A0BCF" w:rsidRPr="00E00C4C" w:rsidRDefault="000A0BCF" w:rsidP="000A0BCF">
            <w:pPr>
              <w:contextualSpacing/>
              <w:rPr>
                <w:sz w:val="20"/>
                <w:szCs w:val="20"/>
              </w:rPr>
            </w:pPr>
            <w:r w:rsidRPr="00E00C4C">
              <w:rPr>
                <w:sz w:val="20"/>
                <w:szCs w:val="20"/>
              </w:rPr>
              <w:t>Price</w:t>
            </w:r>
          </w:p>
        </w:tc>
        <w:tc>
          <w:tcPr>
            <w:tcW w:w="6907" w:type="dxa"/>
            <w:tcBorders>
              <w:top w:val="nil"/>
              <w:bottom w:val="single" w:sz="4" w:space="0" w:color="auto"/>
              <w:right w:val="nil"/>
            </w:tcBorders>
            <w:shd w:val="clear" w:color="auto" w:fill="auto"/>
            <w:vAlign w:val="center"/>
          </w:tcPr>
          <w:p w:rsidR="000A0BCF" w:rsidRPr="00E00C4C" w:rsidRDefault="000A0BCF" w:rsidP="000A0BCF">
            <w:pPr>
              <w:contextualSpacing/>
              <w:rPr>
                <w:sz w:val="20"/>
                <w:szCs w:val="20"/>
              </w:rPr>
            </w:pPr>
            <w:r w:rsidRPr="00E00C4C">
              <w:rPr>
                <w:sz w:val="20"/>
                <w:szCs w:val="20"/>
              </w:rPr>
              <w:t>$799; $999; $1,199; $1,399; $1,599; $1,799,</w:t>
            </w:r>
          </w:p>
        </w:tc>
      </w:tr>
    </w:tbl>
    <w:p w:rsidR="000A0BCF" w:rsidRDefault="000A0BCF" w:rsidP="000A0BCF">
      <w:pPr>
        <w:rPr>
          <w:noProof/>
          <w:sz w:val="20"/>
          <w:szCs w:val="20"/>
          <w:lang w:val="en-US"/>
        </w:rPr>
      </w:pPr>
    </w:p>
    <w:p w:rsidR="000A0BCF" w:rsidRDefault="000A0BCF" w:rsidP="00132673">
      <w:pPr>
        <w:rPr>
          <w:noProof/>
          <w:sz w:val="20"/>
          <w:szCs w:val="20"/>
          <w:lang w:val="en-US"/>
        </w:rPr>
      </w:pPr>
      <w:r w:rsidRPr="004353FE">
        <w:rPr>
          <w:noProof/>
          <w:sz w:val="20"/>
          <w:szCs w:val="20"/>
          <w:lang w:val="en-US"/>
        </w:rPr>
        <w:t>Following the choice experiment, respondents took part in an incentivized envy game inspired by Fehr, Bernhard and Rockenbach’s (2008) envy game and by Güth’s (2010) generosity game. In our game, respondents were informed that one out of every 100 respondents would be selected at random to receive an amount between zero and 100 U.S. dollars in addition to the participation fee. The exact amount would be determined by another randomly selected respondent. Respondents were then asked to indicate how much another participant should receive in case they were selected to determine this amou</w:t>
      </w:r>
      <w:r>
        <w:rPr>
          <w:noProof/>
          <w:sz w:val="20"/>
          <w:szCs w:val="20"/>
          <w:lang w:val="en-US"/>
        </w:rPr>
        <w:t>nt. We further informed respond</w:t>
      </w:r>
      <w:r w:rsidRPr="004353FE">
        <w:rPr>
          <w:noProof/>
          <w:sz w:val="20"/>
          <w:szCs w:val="20"/>
          <w:lang w:val="en-US"/>
        </w:rPr>
        <w:t xml:space="preserve">ents that they could be selected either as a receiver or as a giver, but not both, thus excluding any form of reciprocity from the game. </w:t>
      </w:r>
    </w:p>
    <w:p w:rsidR="004C1054" w:rsidRDefault="004C1054" w:rsidP="00132673">
      <w:pPr>
        <w:rPr>
          <w:noProof/>
          <w:sz w:val="20"/>
          <w:szCs w:val="20"/>
          <w:lang w:val="en-US"/>
        </w:rPr>
      </w:pPr>
    </w:p>
    <w:p w:rsidR="00132673" w:rsidRPr="00132673" w:rsidRDefault="004353FE" w:rsidP="00132673">
      <w:pPr>
        <w:rPr>
          <w:noProof/>
          <w:sz w:val="20"/>
          <w:szCs w:val="20"/>
          <w:lang w:val="en-US"/>
        </w:rPr>
      </w:pPr>
      <w:r>
        <w:rPr>
          <w:noProof/>
          <w:sz w:val="20"/>
          <w:szCs w:val="20"/>
          <w:lang w:val="en-US"/>
        </w:rPr>
        <w:t xml:space="preserve">We estimated </w:t>
      </w:r>
      <w:r w:rsidR="00132673">
        <w:rPr>
          <w:noProof/>
          <w:sz w:val="20"/>
          <w:szCs w:val="20"/>
          <w:lang w:val="en-US"/>
        </w:rPr>
        <w:t xml:space="preserve">several </w:t>
      </w:r>
      <w:r>
        <w:rPr>
          <w:noProof/>
          <w:sz w:val="20"/>
          <w:szCs w:val="20"/>
          <w:lang w:val="en-US"/>
        </w:rPr>
        <w:t xml:space="preserve">mixed logit models in WTP space. </w:t>
      </w:r>
      <w:r w:rsidR="00132673" w:rsidRPr="00132673">
        <w:rPr>
          <w:noProof/>
          <w:sz w:val="20"/>
          <w:szCs w:val="20"/>
          <w:lang w:val="en-US"/>
        </w:rPr>
        <w:t xml:space="preserve">We first estimated a base model which includes the attributes only. Then we ran a model exploring the impact of conveyance on willingness-to-pay for attributes of refrigerators, especially for likely conveyors. We therefore created a dummy variable to distinguish conveyors from non-conveyors. </w:t>
      </w:r>
      <w:r w:rsidR="00132673">
        <w:rPr>
          <w:noProof/>
          <w:sz w:val="20"/>
          <w:szCs w:val="20"/>
          <w:lang w:val="en-US"/>
        </w:rPr>
        <w:t>Conveyors</w:t>
      </w:r>
      <w:r w:rsidR="00132673" w:rsidRPr="00132673">
        <w:rPr>
          <w:noProof/>
          <w:sz w:val="20"/>
          <w:szCs w:val="20"/>
          <w:lang w:val="en-US"/>
        </w:rPr>
        <w:t xml:space="preserve"> are defined as respondents who stated they would leave their refrigerator with the home when they sold their current home and that they planned to move within the next 5 years</w:t>
      </w:r>
      <w:r w:rsidR="00132673">
        <w:rPr>
          <w:noProof/>
          <w:sz w:val="20"/>
          <w:szCs w:val="20"/>
          <w:lang w:val="en-US"/>
        </w:rPr>
        <w:t>.</w:t>
      </w:r>
      <w:r w:rsidR="000A0BCF">
        <w:rPr>
          <w:noProof/>
          <w:sz w:val="20"/>
          <w:szCs w:val="20"/>
          <w:lang w:val="en-US"/>
        </w:rPr>
        <w:t xml:space="preserve"> T</w:t>
      </w:r>
      <w:r w:rsidR="00132673" w:rsidRPr="00132673">
        <w:rPr>
          <w:noProof/>
          <w:sz w:val="20"/>
          <w:szCs w:val="20"/>
          <w:lang w:val="en-US"/>
        </w:rPr>
        <w:t>o test for the effects of envy on refrigerator characteristics</w:t>
      </w:r>
      <w:r w:rsidR="00782F47">
        <w:rPr>
          <w:noProof/>
          <w:sz w:val="20"/>
          <w:szCs w:val="20"/>
          <w:lang w:val="en-US"/>
        </w:rPr>
        <w:t>,</w:t>
      </w:r>
      <w:r w:rsidR="00132673" w:rsidRPr="00132673">
        <w:rPr>
          <w:noProof/>
          <w:sz w:val="20"/>
          <w:szCs w:val="20"/>
          <w:lang w:val="en-US"/>
        </w:rPr>
        <w:t xml:space="preserve"> we </w:t>
      </w:r>
      <w:r w:rsidR="00132673">
        <w:rPr>
          <w:noProof/>
          <w:sz w:val="20"/>
          <w:szCs w:val="20"/>
          <w:lang w:val="en-US"/>
        </w:rPr>
        <w:t>include</w:t>
      </w:r>
      <w:r w:rsidR="00782F47">
        <w:rPr>
          <w:noProof/>
          <w:sz w:val="20"/>
          <w:szCs w:val="20"/>
          <w:lang w:val="en-US"/>
        </w:rPr>
        <w:t>d</w:t>
      </w:r>
      <w:r w:rsidR="00132673">
        <w:rPr>
          <w:noProof/>
          <w:sz w:val="20"/>
          <w:szCs w:val="20"/>
          <w:lang w:val="en-US"/>
        </w:rPr>
        <w:t xml:space="preserve"> </w:t>
      </w:r>
      <w:r w:rsidR="00132673" w:rsidRPr="00132673">
        <w:rPr>
          <w:noProof/>
          <w:sz w:val="20"/>
          <w:szCs w:val="20"/>
          <w:lang w:val="en-US"/>
        </w:rPr>
        <w:t>interact</w:t>
      </w:r>
      <w:r w:rsidR="00132673">
        <w:rPr>
          <w:noProof/>
          <w:sz w:val="20"/>
          <w:szCs w:val="20"/>
          <w:lang w:val="en-US"/>
        </w:rPr>
        <w:t>ion terms for each attribute with</w:t>
      </w:r>
      <w:r w:rsidR="00132673" w:rsidRPr="00132673">
        <w:rPr>
          <w:noProof/>
          <w:sz w:val="20"/>
          <w:szCs w:val="20"/>
          <w:lang w:val="en-US"/>
        </w:rPr>
        <w:t xml:space="preserve"> </w:t>
      </w:r>
      <w:r w:rsidR="00410B9F">
        <w:rPr>
          <w:noProof/>
          <w:sz w:val="20"/>
          <w:szCs w:val="20"/>
          <w:lang w:val="en-US"/>
        </w:rPr>
        <w:t xml:space="preserve">a dummy </w:t>
      </w:r>
      <w:r w:rsidR="00ED417A">
        <w:rPr>
          <w:noProof/>
          <w:sz w:val="20"/>
          <w:szCs w:val="20"/>
          <w:lang w:val="en-US"/>
        </w:rPr>
        <w:t xml:space="preserve">which </w:t>
      </w:r>
      <w:r w:rsidR="00132673" w:rsidRPr="00132673">
        <w:rPr>
          <w:noProof/>
          <w:sz w:val="20"/>
          <w:szCs w:val="20"/>
          <w:lang w:val="en-US"/>
        </w:rPr>
        <w:t>takes on the value of one, if respondents give at most the median amount of $86 in the envy game</w:t>
      </w:r>
      <w:r w:rsidR="00132673">
        <w:rPr>
          <w:noProof/>
          <w:sz w:val="20"/>
          <w:szCs w:val="20"/>
          <w:lang w:val="en-US"/>
        </w:rPr>
        <w:t xml:space="preserve">. To </w:t>
      </w:r>
      <w:r w:rsidR="00410B9F">
        <w:rPr>
          <w:noProof/>
          <w:sz w:val="20"/>
          <w:szCs w:val="20"/>
          <w:lang w:val="en-US"/>
        </w:rPr>
        <w:t xml:space="preserve">assess the effects of envy in the context of conveyance, we split the sample into conveyors and non-conveyors. </w:t>
      </w:r>
    </w:p>
    <w:p w:rsidR="00394222" w:rsidRPr="00713DEE" w:rsidRDefault="00394222" w:rsidP="00394222">
      <w:pPr>
        <w:pStyle w:val="berschrift4"/>
        <w:rPr>
          <w:b/>
          <w:noProof/>
          <w:lang w:val="en-US"/>
        </w:rPr>
      </w:pPr>
      <w:r w:rsidRPr="00713DEE">
        <w:rPr>
          <w:b/>
          <w:noProof/>
          <w:lang w:val="en-US"/>
        </w:rPr>
        <w:t>Results</w:t>
      </w:r>
    </w:p>
    <w:p w:rsidR="00777858" w:rsidRPr="00410B9F" w:rsidRDefault="00ED417A" w:rsidP="00782F47">
      <w:pPr>
        <w:rPr>
          <w:noProof/>
          <w:sz w:val="20"/>
          <w:szCs w:val="20"/>
          <w:lang w:val="en-US"/>
        </w:rPr>
      </w:pPr>
      <w:r w:rsidRPr="00ED417A">
        <w:rPr>
          <w:noProof/>
          <w:sz w:val="20"/>
          <w:szCs w:val="20"/>
          <w:lang w:val="en-US"/>
        </w:rPr>
        <w:t>The findings suggest that conveyors are more likely to purchase a smaller refrigerator, from a less well-known brand, and with lower customer ratings. In contrast, conveyance was not found to affect respondents’ willingness-to-pay for energy costs.</w:t>
      </w:r>
      <w:r w:rsidR="00F44A70">
        <w:rPr>
          <w:noProof/>
          <w:sz w:val="20"/>
          <w:szCs w:val="20"/>
          <w:lang w:val="en-US"/>
        </w:rPr>
        <w:t xml:space="preserve"> E</w:t>
      </w:r>
      <w:r w:rsidRPr="00ED417A">
        <w:rPr>
          <w:noProof/>
          <w:sz w:val="20"/>
          <w:szCs w:val="20"/>
          <w:lang w:val="en-US"/>
        </w:rPr>
        <w:t>nvy generally reinforces these effects of conveyance</w:t>
      </w:r>
      <w:r w:rsidR="00410B9F" w:rsidRPr="00410B9F">
        <w:rPr>
          <w:noProof/>
          <w:sz w:val="20"/>
          <w:szCs w:val="20"/>
          <w:lang w:val="en-US"/>
        </w:rPr>
        <w:t>.</w:t>
      </w:r>
    </w:p>
    <w:p w:rsidR="00394222" w:rsidRPr="00713DEE" w:rsidRDefault="00394222" w:rsidP="00394222">
      <w:pPr>
        <w:pStyle w:val="berschrift4"/>
        <w:rPr>
          <w:b/>
          <w:noProof/>
          <w:lang w:val="en-US"/>
        </w:rPr>
      </w:pPr>
      <w:r w:rsidRPr="00713DEE">
        <w:rPr>
          <w:b/>
          <w:noProof/>
          <w:lang w:val="en-US"/>
        </w:rPr>
        <w:t>Conclusions</w:t>
      </w:r>
    </w:p>
    <w:p w:rsidR="00E00C4C" w:rsidRPr="00E00C4C" w:rsidRDefault="00564946" w:rsidP="00E00C4C">
      <w:pPr>
        <w:rPr>
          <w:noProof/>
          <w:sz w:val="20"/>
          <w:szCs w:val="20"/>
          <w:lang w:val="en-US"/>
        </w:rPr>
      </w:pPr>
      <w:r>
        <w:rPr>
          <w:noProof/>
          <w:sz w:val="20"/>
          <w:szCs w:val="20"/>
          <w:lang w:val="en-US"/>
        </w:rPr>
        <w:t xml:space="preserve">Conveyance negatively affects product quality characteristics and size, but does not appear to be related with energy performance. Hence, </w:t>
      </w:r>
      <w:r w:rsidR="000E0A3F" w:rsidRPr="000E0A3F">
        <w:rPr>
          <w:noProof/>
          <w:sz w:val="20"/>
          <w:szCs w:val="20"/>
          <w:lang w:val="en-US"/>
        </w:rPr>
        <w:t>Sandler’s (2018) conclusion that conveyance leads to the adopt</w:t>
      </w:r>
      <w:r w:rsidR="00E00C4C">
        <w:rPr>
          <w:noProof/>
          <w:sz w:val="20"/>
          <w:szCs w:val="20"/>
          <w:lang w:val="en-US"/>
        </w:rPr>
        <w:t>ion of less efficient refrigera</w:t>
      </w:r>
      <w:r w:rsidR="000E0A3F" w:rsidRPr="000E0A3F">
        <w:rPr>
          <w:noProof/>
          <w:sz w:val="20"/>
          <w:szCs w:val="20"/>
          <w:lang w:val="en-US"/>
        </w:rPr>
        <w:t>tors may therefore have been an indirect effect</w:t>
      </w:r>
      <w:r w:rsidR="00F44A70">
        <w:rPr>
          <w:noProof/>
          <w:sz w:val="20"/>
          <w:szCs w:val="20"/>
          <w:lang w:val="en-US"/>
        </w:rPr>
        <w:t xml:space="preserve">. </w:t>
      </w:r>
      <w:r w:rsidR="000E0A3F" w:rsidRPr="000E0A3F">
        <w:rPr>
          <w:noProof/>
          <w:sz w:val="20"/>
          <w:szCs w:val="20"/>
          <w:lang w:val="en-US"/>
        </w:rPr>
        <w:t>Homeowners may incidentally purchase less energy-efficient appliances (even without paying attention to ener</w:t>
      </w:r>
      <w:r>
        <w:rPr>
          <w:noProof/>
          <w:sz w:val="20"/>
          <w:szCs w:val="20"/>
          <w:lang w:val="en-US"/>
        </w:rPr>
        <w:t>gy consumption) through the pur</w:t>
      </w:r>
      <w:r w:rsidR="000E0A3F" w:rsidRPr="000E0A3F">
        <w:rPr>
          <w:noProof/>
          <w:sz w:val="20"/>
          <w:szCs w:val="20"/>
          <w:lang w:val="en-US"/>
        </w:rPr>
        <w:t xml:space="preserve">chase of lower quality appliances. However, this effect on energy consumption may be compensated by conveyors’ choice of smaller refrigerators, which typically consume less energy than larger ones. </w:t>
      </w:r>
      <w:r w:rsidR="00E00C4C" w:rsidRPr="00E00C4C">
        <w:rPr>
          <w:noProof/>
          <w:sz w:val="20"/>
          <w:szCs w:val="20"/>
          <w:lang w:val="en-US"/>
        </w:rPr>
        <w:t xml:space="preserve">Our results </w:t>
      </w:r>
      <w:r w:rsidR="00BC339F">
        <w:rPr>
          <w:noProof/>
          <w:sz w:val="20"/>
          <w:szCs w:val="20"/>
          <w:lang w:val="en-US"/>
        </w:rPr>
        <w:t>further</w:t>
      </w:r>
      <w:r>
        <w:rPr>
          <w:noProof/>
          <w:sz w:val="20"/>
          <w:szCs w:val="20"/>
          <w:lang w:val="en-US"/>
        </w:rPr>
        <w:t xml:space="preserve"> </w:t>
      </w:r>
      <w:r w:rsidR="00E00C4C" w:rsidRPr="00E00C4C">
        <w:rPr>
          <w:noProof/>
          <w:sz w:val="20"/>
          <w:szCs w:val="20"/>
          <w:lang w:val="en-US"/>
        </w:rPr>
        <w:t xml:space="preserve">suggest that </w:t>
      </w:r>
      <w:r w:rsidR="00BC339F">
        <w:rPr>
          <w:noProof/>
          <w:sz w:val="20"/>
          <w:szCs w:val="20"/>
          <w:lang w:val="en-US"/>
        </w:rPr>
        <w:t>envy</w:t>
      </w:r>
      <w:r w:rsidR="00E00C4C" w:rsidRPr="00E00C4C">
        <w:rPr>
          <w:noProof/>
          <w:sz w:val="20"/>
          <w:szCs w:val="20"/>
          <w:lang w:val="en-US"/>
        </w:rPr>
        <w:t xml:space="preserve"> preferences may play a large role in explaining preferences for certain attributes whe</w:t>
      </w:r>
      <w:r>
        <w:rPr>
          <w:noProof/>
          <w:sz w:val="20"/>
          <w:szCs w:val="20"/>
          <w:lang w:val="en-US"/>
        </w:rPr>
        <w:t>n appliances</w:t>
      </w:r>
      <w:r w:rsidR="00BC339F">
        <w:rPr>
          <w:noProof/>
          <w:sz w:val="20"/>
          <w:szCs w:val="20"/>
          <w:lang w:val="en-US"/>
        </w:rPr>
        <w:t xml:space="preserve"> convey, thus contributing to </w:t>
      </w:r>
      <w:r w:rsidR="008F1E86" w:rsidRPr="00D972E7">
        <w:rPr>
          <w:noProof/>
          <w:sz w:val="20"/>
          <w:szCs w:val="20"/>
          <w:lang w:val="en-US"/>
        </w:rPr>
        <w:t>explain</w:t>
      </w:r>
      <w:r w:rsidR="00BC339F">
        <w:rPr>
          <w:noProof/>
          <w:sz w:val="20"/>
          <w:szCs w:val="20"/>
          <w:lang w:val="en-US"/>
        </w:rPr>
        <w:t>ing</w:t>
      </w:r>
      <w:r w:rsidR="008F1E86" w:rsidRPr="00D972E7">
        <w:rPr>
          <w:noProof/>
          <w:sz w:val="20"/>
          <w:szCs w:val="20"/>
          <w:lang w:val="en-US"/>
        </w:rPr>
        <w:t xml:space="preserve"> the energy efficiency paradox.</w:t>
      </w:r>
    </w:p>
    <w:p w:rsidR="00394222" w:rsidRPr="00713DEE" w:rsidRDefault="00394222" w:rsidP="00394222">
      <w:pPr>
        <w:pStyle w:val="berschrift4"/>
        <w:rPr>
          <w:b/>
          <w:noProof/>
          <w:lang w:val="en-US"/>
        </w:rPr>
      </w:pPr>
      <w:r w:rsidRPr="00713DEE">
        <w:rPr>
          <w:b/>
          <w:noProof/>
          <w:lang w:val="en-US"/>
        </w:rPr>
        <w:t>References</w:t>
      </w:r>
    </w:p>
    <w:p w:rsidR="00564946" w:rsidRPr="00564946" w:rsidRDefault="00564946" w:rsidP="00F44A70">
      <w:pPr>
        <w:ind w:left="284" w:hanging="284"/>
        <w:rPr>
          <w:noProof/>
          <w:sz w:val="20"/>
          <w:lang w:val="en-US"/>
        </w:rPr>
      </w:pPr>
      <w:r w:rsidRPr="00564946">
        <w:rPr>
          <w:noProof/>
          <w:sz w:val="20"/>
        </w:rPr>
        <w:t xml:space="preserve">Fehr, E., Bernhard, H., Rockenbach, B., 2008. </w:t>
      </w:r>
      <w:r w:rsidRPr="00564946">
        <w:rPr>
          <w:noProof/>
          <w:sz w:val="20"/>
          <w:lang w:val="en-US"/>
        </w:rPr>
        <w:t>Egalitarianim in Young Children. Nature 454, 1079-1084.</w:t>
      </w:r>
    </w:p>
    <w:p w:rsidR="00564946" w:rsidRPr="00564946" w:rsidRDefault="00564946" w:rsidP="00F44A70">
      <w:pPr>
        <w:ind w:left="284" w:hanging="284"/>
        <w:rPr>
          <w:noProof/>
          <w:sz w:val="20"/>
          <w:lang w:val="en-US"/>
        </w:rPr>
      </w:pPr>
      <w:r w:rsidRPr="00564946">
        <w:rPr>
          <w:noProof/>
          <w:sz w:val="20"/>
          <w:lang w:val="en-US"/>
        </w:rPr>
        <w:t>Gerarden, T., Newell, R.G., Stavins, R.N., 2015. Deconstructing the energy-efficiency gap: Conceptual frameworks and evidence. American Economic Review: Papers and Proceedings 105, 183–186. doi:10.1257/aer.p20151012.</w:t>
      </w:r>
    </w:p>
    <w:p w:rsidR="00564946" w:rsidRPr="00564946" w:rsidRDefault="00564946" w:rsidP="00F44A70">
      <w:pPr>
        <w:ind w:left="284" w:hanging="284"/>
        <w:rPr>
          <w:noProof/>
          <w:sz w:val="20"/>
          <w:lang w:val="en-US"/>
        </w:rPr>
      </w:pPr>
      <w:r w:rsidRPr="00564946">
        <w:rPr>
          <w:noProof/>
          <w:sz w:val="20"/>
          <w:lang w:val="en-US"/>
        </w:rPr>
        <w:t>Güth, W., 2010. The Generosity Game and Calibration of Inequity Aversion. The Journal of Socio-Economics 39, 155-157.</w:t>
      </w:r>
    </w:p>
    <w:p w:rsidR="00571DA8" w:rsidRDefault="00571DA8" w:rsidP="00F44A70">
      <w:pPr>
        <w:ind w:left="284" w:hanging="284"/>
        <w:rPr>
          <w:noProof/>
          <w:sz w:val="20"/>
          <w:lang w:val="en-US"/>
        </w:rPr>
      </w:pPr>
      <w:r w:rsidRPr="00571DA8">
        <w:rPr>
          <w:noProof/>
          <w:sz w:val="20"/>
          <w:lang w:val="en-US"/>
        </w:rPr>
        <w:t>Jaffe, A.B., Stavins, R.N., 1994. The energy paradox and the diffusion of conservation technology.Resour. Energy Econ. 91–122.</w:t>
      </w:r>
    </w:p>
    <w:p w:rsidR="00A91E8A" w:rsidRDefault="00A91E8A" w:rsidP="00F44A70">
      <w:pPr>
        <w:ind w:left="284" w:hanging="284"/>
        <w:rPr>
          <w:noProof/>
          <w:sz w:val="20"/>
          <w:lang w:val="en-US"/>
        </w:rPr>
      </w:pPr>
      <w:r w:rsidRPr="00A91E8A">
        <w:rPr>
          <w:noProof/>
          <w:sz w:val="20"/>
        </w:rPr>
        <w:t xml:space="preserve">Olsthoorn, M., Schleich, J., Hirzel, S., 2017. </w:t>
      </w:r>
      <w:r w:rsidRPr="00A91E8A">
        <w:rPr>
          <w:noProof/>
          <w:sz w:val="20"/>
          <w:lang w:val="en-US"/>
        </w:rPr>
        <w:t>Adoption of energy efficiency measures for non-residential buildings: technological and organizational heterogeneity in the trade, commerce and services sector. Ecological Economics 136, 240-254</w:t>
      </w:r>
    </w:p>
    <w:p w:rsidR="00564946" w:rsidRPr="00564946" w:rsidRDefault="00564946" w:rsidP="00F44A70">
      <w:pPr>
        <w:ind w:left="284" w:hanging="284"/>
        <w:rPr>
          <w:noProof/>
          <w:sz w:val="20"/>
          <w:lang w:val="en-US"/>
        </w:rPr>
      </w:pPr>
      <w:r w:rsidRPr="00564946">
        <w:rPr>
          <w:noProof/>
          <w:sz w:val="20"/>
          <w:lang w:val="en-US"/>
        </w:rPr>
        <w:t>Sandler, R. 2018. You can’t take it with you. Appliance choice and the energy efficiency ga. Journal of Environmental Economics and Management 88, 327-344.</w:t>
      </w:r>
    </w:p>
    <w:p w:rsidR="00564946" w:rsidRPr="00564946" w:rsidRDefault="00564946" w:rsidP="00F44A70">
      <w:pPr>
        <w:ind w:left="284" w:hanging="284"/>
        <w:rPr>
          <w:noProof/>
          <w:sz w:val="20"/>
          <w:lang w:val="en-US"/>
        </w:rPr>
      </w:pPr>
      <w:r w:rsidRPr="00564946">
        <w:rPr>
          <w:noProof/>
          <w:sz w:val="20"/>
          <w:lang w:val="en-US"/>
        </w:rPr>
        <w:t>Ward, D. O., Clark, C. D., Jensen, K. L., Yen, S. T., Russell, C. S., 2011. Factors influencing willingness-to-pay for the ENERGY STAR® label. Energy Policy 39(3), 1450-1458.</w:t>
      </w:r>
    </w:p>
    <w:sectPr w:rsidR="00564946" w:rsidRPr="005649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00"/>
    <w:rsid w:val="000A0BCF"/>
    <w:rsid w:val="000D632B"/>
    <w:rsid w:val="000E0A3F"/>
    <w:rsid w:val="001276F1"/>
    <w:rsid w:val="00132673"/>
    <w:rsid w:val="001B00E6"/>
    <w:rsid w:val="001B57F4"/>
    <w:rsid w:val="0020372C"/>
    <w:rsid w:val="002405C6"/>
    <w:rsid w:val="002E671D"/>
    <w:rsid w:val="00394222"/>
    <w:rsid w:val="003C4093"/>
    <w:rsid w:val="003F0274"/>
    <w:rsid w:val="003F4A00"/>
    <w:rsid w:val="00410B9F"/>
    <w:rsid w:val="0041200C"/>
    <w:rsid w:val="004353FE"/>
    <w:rsid w:val="004A341F"/>
    <w:rsid w:val="004C1054"/>
    <w:rsid w:val="004D1C35"/>
    <w:rsid w:val="004D56C1"/>
    <w:rsid w:val="00554C5E"/>
    <w:rsid w:val="00564946"/>
    <w:rsid w:val="00571DA8"/>
    <w:rsid w:val="005960A0"/>
    <w:rsid w:val="00653AED"/>
    <w:rsid w:val="00664713"/>
    <w:rsid w:val="006C4092"/>
    <w:rsid w:val="00711E32"/>
    <w:rsid w:val="0071332D"/>
    <w:rsid w:val="0074449E"/>
    <w:rsid w:val="00747995"/>
    <w:rsid w:val="00760974"/>
    <w:rsid w:val="00777858"/>
    <w:rsid w:val="00782F47"/>
    <w:rsid w:val="007C5BFA"/>
    <w:rsid w:val="00821E02"/>
    <w:rsid w:val="00873A7D"/>
    <w:rsid w:val="008F1E86"/>
    <w:rsid w:val="00A11FC6"/>
    <w:rsid w:val="00A166DA"/>
    <w:rsid w:val="00A406F5"/>
    <w:rsid w:val="00A46E40"/>
    <w:rsid w:val="00A91E8A"/>
    <w:rsid w:val="00AE7B66"/>
    <w:rsid w:val="00BA63C8"/>
    <w:rsid w:val="00BC339F"/>
    <w:rsid w:val="00BC5F16"/>
    <w:rsid w:val="00C50CC3"/>
    <w:rsid w:val="00C50F51"/>
    <w:rsid w:val="00C95B9B"/>
    <w:rsid w:val="00D3226D"/>
    <w:rsid w:val="00D34B4E"/>
    <w:rsid w:val="00D37A8B"/>
    <w:rsid w:val="00D972E7"/>
    <w:rsid w:val="00DF5DD0"/>
    <w:rsid w:val="00E00C4C"/>
    <w:rsid w:val="00E511E3"/>
    <w:rsid w:val="00E86886"/>
    <w:rsid w:val="00ED417A"/>
    <w:rsid w:val="00F25D0E"/>
    <w:rsid w:val="00F34E53"/>
    <w:rsid w:val="00F44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606F45-D102-4F60-90C0-35784B0E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394222"/>
    <w:pPr>
      <w:keepNext/>
      <w:spacing w:after="120"/>
      <w:outlineLvl w:val="0"/>
    </w:pPr>
    <w:rPr>
      <w:b/>
      <w:sz w:val="28"/>
      <w:szCs w:val="28"/>
    </w:rPr>
  </w:style>
  <w:style w:type="paragraph" w:styleId="berschrift3">
    <w:name w:val="heading 3"/>
    <w:aliases w:val="Überschrift 3 Char"/>
    <w:basedOn w:val="Standard"/>
    <w:next w:val="Standard"/>
    <w:link w:val="berschrift3Zchn"/>
    <w:autoRedefine/>
    <w:qFormat/>
    <w:rsid w:val="00777858"/>
    <w:pPr>
      <w:keepNext/>
      <w:outlineLvl w:val="2"/>
    </w:pPr>
    <w:rPr>
      <w:noProof/>
      <w:sz w:val="20"/>
      <w:szCs w:val="20"/>
      <w:lang w:val="en-US"/>
    </w:rPr>
  </w:style>
  <w:style w:type="paragraph" w:styleId="berschrift4">
    <w:name w:val="heading 4"/>
    <w:aliases w:val="Überschrift 4 Char"/>
    <w:basedOn w:val="Standard"/>
    <w:next w:val="Standard"/>
    <w:link w:val="berschrift4Zchn"/>
    <w:autoRedefine/>
    <w:qFormat/>
    <w:rsid w:val="00394222"/>
    <w:pPr>
      <w:keepNext/>
      <w:spacing w:before="240" w:after="60" w:line="240" w:lineRule="exact"/>
      <w:jc w:val="both"/>
      <w:outlineLvl w:val="3"/>
    </w:pPr>
    <w:rPr>
      <w:bCs/>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rsid w:val="00394222"/>
    <w:rPr>
      <w:b/>
      <w:sz w:val="28"/>
      <w:szCs w:val="28"/>
      <w:lang w:val="de-DE" w:eastAsia="de-DE" w:bidi="ar-SA"/>
    </w:rPr>
  </w:style>
  <w:style w:type="character" w:customStyle="1" w:styleId="berschrift3Zchn">
    <w:name w:val="Überschrift 3 Zchn"/>
    <w:aliases w:val="Überschrift 3 Char Zchn"/>
    <w:link w:val="berschrift3"/>
    <w:rsid w:val="00777858"/>
    <w:rPr>
      <w:noProof/>
      <w:lang w:val="en-US"/>
    </w:rPr>
  </w:style>
  <w:style w:type="paragraph" w:customStyle="1" w:styleId="1Grobuchstaben">
    <w:name w:val="Ü 1 + Großbuchstaben"/>
    <w:basedOn w:val="berschrift1"/>
    <w:link w:val="1GrobuchstabenChar"/>
    <w:rsid w:val="00394222"/>
    <w:rPr>
      <w:bCs/>
      <w:caps/>
    </w:rPr>
  </w:style>
  <w:style w:type="character" w:customStyle="1" w:styleId="1GrobuchstabenChar">
    <w:name w:val="Ü 1 + Großbuchstaben Char"/>
    <w:link w:val="1Grobuchstaben"/>
    <w:rsid w:val="00394222"/>
    <w:rPr>
      <w:b/>
      <w:bCs/>
      <w:caps/>
      <w:sz w:val="28"/>
      <w:szCs w:val="28"/>
      <w:lang w:val="de-DE" w:eastAsia="de-DE" w:bidi="ar-SA"/>
    </w:rPr>
  </w:style>
  <w:style w:type="paragraph" w:customStyle="1" w:styleId="1Kursiv">
    <w:name w:val="Ü 1 + Kursiv"/>
    <w:basedOn w:val="berschrift1"/>
    <w:link w:val="1KursivChar"/>
    <w:rsid w:val="00394222"/>
    <w:rPr>
      <w:bCs/>
      <w:i/>
      <w:iCs/>
    </w:rPr>
  </w:style>
  <w:style w:type="character" w:customStyle="1" w:styleId="1KursivChar">
    <w:name w:val="Ü 1 + Kursiv Char"/>
    <w:link w:val="1Kursiv"/>
    <w:rsid w:val="00394222"/>
    <w:rPr>
      <w:b/>
      <w:bCs/>
      <w:i/>
      <w:iCs/>
      <w:sz w:val="28"/>
      <w:szCs w:val="28"/>
      <w:lang w:val="de-DE" w:eastAsia="de-DE" w:bidi="ar-SA"/>
    </w:rPr>
  </w:style>
  <w:style w:type="character" w:customStyle="1" w:styleId="berschrift4Zchn">
    <w:name w:val="Überschrift 4 Zchn"/>
    <w:aliases w:val="Überschrift 4 Char Zchn"/>
    <w:link w:val="berschrift4"/>
    <w:rsid w:val="00394222"/>
    <w:rPr>
      <w:bCs/>
      <w:sz w:val="24"/>
      <w:szCs w:val="28"/>
      <w:lang w:val="de-DE" w:eastAsia="de-DE" w:bidi="ar-SA"/>
    </w:rPr>
  </w:style>
  <w:style w:type="paragraph" w:styleId="Sprechblasentext">
    <w:name w:val="Balloon Text"/>
    <w:basedOn w:val="Standard"/>
    <w:semiHidden/>
    <w:rsid w:val="00394222"/>
    <w:rPr>
      <w:rFonts w:ascii="Tahoma" w:hAnsi="Tahoma" w:cs="Tahoma"/>
      <w:sz w:val="16"/>
      <w:szCs w:val="16"/>
    </w:rPr>
  </w:style>
  <w:style w:type="character" w:styleId="Hyperlink">
    <w:name w:val="Hyperlink"/>
    <w:rsid w:val="005960A0"/>
    <w:rPr>
      <w:color w:val="0000FF"/>
      <w:u w:val="single"/>
    </w:rPr>
  </w:style>
  <w:style w:type="table" w:styleId="Tabellenraster">
    <w:name w:val="Table Grid"/>
    <w:basedOn w:val="NormaleTabelle"/>
    <w:uiPriority w:val="39"/>
    <w:rsid w:val="0074449E"/>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charlotte.guetlein@grenoble-em.com" TargetMode="External"/><Relationship Id="rId4" Type="http://schemas.openxmlformats.org/officeDocument/2006/relationships/hyperlink" Target="mailto:corinne.faure@grenoble-em.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8309</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Jörg Wild, Christian Spielmann, Stephan Vaterlaus and Heike Worm</vt:lpstr>
      <vt:lpstr>Jörg Wild, Christian Spielmann, Stephan Vaterlaus and Heike Worm</vt:lpstr>
    </vt:vector>
  </TitlesOfParts>
  <Company>Fraunhofer ISI</Company>
  <LinksUpToDate>false</LinksUpToDate>
  <CharactersWithSpaces>9608</CharactersWithSpaces>
  <SharedDoc>false</SharedDoc>
  <HLinks>
    <vt:vector size="12" baseType="variant">
      <vt:variant>
        <vt:i4>2031720</vt:i4>
      </vt:variant>
      <vt:variant>
        <vt:i4>3</vt:i4>
      </vt:variant>
      <vt:variant>
        <vt:i4>0</vt:i4>
      </vt:variant>
      <vt:variant>
        <vt:i4>5</vt:i4>
      </vt:variant>
      <vt:variant>
        <vt:lpwstr>mailto:marie-charlotte.guetlein@grenoble-em.com</vt:lpwstr>
      </vt:variant>
      <vt:variant>
        <vt:lpwstr/>
      </vt:variant>
      <vt:variant>
        <vt:i4>4259936</vt:i4>
      </vt:variant>
      <vt:variant>
        <vt:i4>0</vt:i4>
      </vt:variant>
      <vt:variant>
        <vt:i4>0</vt:i4>
      </vt:variant>
      <vt:variant>
        <vt:i4>5</vt:i4>
      </vt:variant>
      <vt:variant>
        <vt:lpwstr>mailto:corinne.faure@grenoble-em.com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Jörg Wild, Christian Spielmann, Stephan Vaterlaus and Heike Worm</dc:title>
  <dc:subject/>
  <dc:creator>Joachim Schleich</dc:creator>
  <cp:keywords/>
  <cp:lastModifiedBy>Schleich, Joachim</cp:lastModifiedBy>
  <cp:revision>2</cp:revision>
  <dcterms:created xsi:type="dcterms:W3CDTF">2019-03-12T08:16:00Z</dcterms:created>
  <dcterms:modified xsi:type="dcterms:W3CDTF">2019-03-12T08:16:00Z</dcterms:modified>
</cp:coreProperties>
</file>