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4694" w:rsidRPr="0097573B" w:rsidRDefault="00E74694" w:rsidP="00E74694">
      <w:pPr>
        <w:framePr w:w="10800" w:h="1965" w:hRule="exact" w:hSpace="187" w:wrap="auto" w:vAnchor="page" w:hAnchor="page" w:x="714" w:y="480"/>
        <w:spacing w:after="120" w:line="240" w:lineRule="auto"/>
        <w:ind w:left="709"/>
        <w:rPr>
          <w:rFonts w:ascii="Times New Roman" w:hAnsi="Times New Roman" w:cs="Times New Roman"/>
          <w:b/>
          <w:i/>
          <w:iCs/>
          <w:caps/>
          <w:sz w:val="28"/>
          <w:szCs w:val="28"/>
          <w:lang w:val="en-GB"/>
        </w:rPr>
      </w:pPr>
      <w:r>
        <w:rPr>
          <w:rFonts w:ascii="Times New Roman" w:hAnsi="Times New Roman" w:cs="Times New Roman"/>
          <w:b/>
          <w:i/>
          <w:iCs/>
          <w:caps/>
          <w:sz w:val="28"/>
          <w:szCs w:val="28"/>
          <w:lang w:val="en-GB"/>
        </w:rPr>
        <w:t>Activitypatterns in the Australian Green Certificate Market: Lessons LEarnt After More than 15 years of operation</w:t>
      </w:r>
    </w:p>
    <w:p w:rsidR="001675B5" w:rsidRPr="00EF57D0" w:rsidRDefault="001675B5" w:rsidP="00E74694">
      <w:pPr>
        <w:framePr w:w="10800" w:h="1965" w:hRule="exact" w:hSpace="187" w:wrap="auto" w:vAnchor="page" w:hAnchor="page" w:x="714" w:y="480"/>
        <w:spacing w:line="240" w:lineRule="auto"/>
        <w:jc w:val="right"/>
        <w:rPr>
          <w:rFonts w:ascii="Times New Roman" w:hAnsi="Times New Roman" w:cs="Times New Roman"/>
          <w:sz w:val="20"/>
          <w:szCs w:val="20"/>
        </w:rPr>
      </w:pPr>
      <w:r w:rsidRPr="00EF57D0">
        <w:rPr>
          <w:rFonts w:ascii="Times New Roman" w:hAnsi="Times New Roman" w:cs="Times New Roman"/>
          <w:sz w:val="20"/>
          <w:szCs w:val="20"/>
        </w:rPr>
        <w:t xml:space="preserve">Regina Betz, </w:t>
      </w:r>
      <w:r w:rsidR="00EF57D0" w:rsidRPr="00EF57D0">
        <w:rPr>
          <w:rFonts w:ascii="Times New Roman" w:hAnsi="Times New Roman" w:cs="Times New Roman"/>
          <w:sz w:val="20"/>
          <w:szCs w:val="20"/>
        </w:rPr>
        <w:t xml:space="preserve">ZHAW, and </w:t>
      </w:r>
      <w:r w:rsidR="00B878A6">
        <w:rPr>
          <w:rFonts w:ascii="Times New Roman" w:hAnsi="Times New Roman" w:cs="Times New Roman"/>
          <w:sz w:val="20"/>
          <w:szCs w:val="20"/>
        </w:rPr>
        <w:t>CEEM/</w:t>
      </w:r>
      <w:r w:rsidRPr="00EF57D0">
        <w:rPr>
          <w:rFonts w:ascii="Times New Roman" w:hAnsi="Times New Roman" w:cs="Times New Roman"/>
          <w:sz w:val="20"/>
          <w:szCs w:val="20"/>
        </w:rPr>
        <w:t xml:space="preserve">UNSW Australia </w:t>
      </w:r>
      <w:hyperlink r:id="rId7" w:history="1">
        <w:r w:rsidRPr="00EF57D0">
          <w:rPr>
            <w:rStyle w:val="Hyperlink"/>
            <w:rFonts w:ascii="Times New Roman" w:hAnsi="Times New Roman" w:cs="Times New Roman"/>
            <w:sz w:val="20"/>
            <w:szCs w:val="20"/>
          </w:rPr>
          <w:t>r.betz@unsw.edu.au</w:t>
        </w:r>
      </w:hyperlink>
    </w:p>
    <w:p w:rsidR="00455BDB" w:rsidRDefault="00455BDB" w:rsidP="00E74694">
      <w:pPr>
        <w:framePr w:w="10800" w:h="1965" w:hRule="exact" w:hSpace="187" w:wrap="auto" w:vAnchor="page" w:hAnchor="page" w:x="714" w:y="480"/>
        <w:spacing w:line="240" w:lineRule="auto"/>
        <w:jc w:val="right"/>
        <w:rPr>
          <w:rFonts w:ascii="Times New Roman" w:hAnsi="Times New Roman" w:cs="Times New Roman"/>
          <w:color w:val="1155CC"/>
          <w:sz w:val="20"/>
          <w:szCs w:val="20"/>
          <w:u w:val="single"/>
          <w:lang w:val="en-GB"/>
        </w:rPr>
      </w:pPr>
      <w:r>
        <w:rPr>
          <w:rFonts w:ascii="Times New Roman" w:hAnsi="Times New Roman" w:cs="Times New Roman"/>
          <w:sz w:val="20"/>
          <w:szCs w:val="20"/>
          <w:lang w:val="en-GB"/>
        </w:rPr>
        <w:t>Johanna Cludius,</w:t>
      </w:r>
      <w:r w:rsidRPr="0097573B">
        <w:rPr>
          <w:rFonts w:ascii="Times New Roman" w:hAnsi="Times New Roman" w:cs="Times New Roman"/>
          <w:sz w:val="20"/>
          <w:szCs w:val="20"/>
          <w:lang w:val="en-GB"/>
        </w:rPr>
        <w:t xml:space="preserve"> </w:t>
      </w:r>
      <w:r>
        <w:rPr>
          <w:rFonts w:ascii="Times New Roman" w:hAnsi="Times New Roman" w:cs="Times New Roman"/>
          <w:sz w:val="20"/>
          <w:szCs w:val="20"/>
          <w:lang w:val="en-GB"/>
        </w:rPr>
        <w:t>ZHAW, Switzerland</w:t>
      </w:r>
      <w:r w:rsidRPr="0097573B">
        <w:rPr>
          <w:rFonts w:ascii="Times New Roman" w:hAnsi="Times New Roman" w:cs="Times New Roman"/>
          <w:sz w:val="20"/>
          <w:szCs w:val="20"/>
          <w:lang w:val="en-GB"/>
        </w:rPr>
        <w:t xml:space="preserve">, </w:t>
      </w:r>
      <w:hyperlink r:id="rId8" w:history="1">
        <w:r w:rsidRPr="00703075">
          <w:rPr>
            <w:rStyle w:val="Hyperlink"/>
            <w:rFonts w:ascii="Times New Roman" w:hAnsi="Times New Roman" w:cs="Times New Roman"/>
            <w:sz w:val="20"/>
            <w:szCs w:val="20"/>
            <w:lang w:val="en-GB"/>
          </w:rPr>
          <w:t>clud@zhaw.ch</w:t>
        </w:r>
      </w:hyperlink>
    </w:p>
    <w:p w:rsidR="00455BDB" w:rsidRDefault="00D41446" w:rsidP="00E74694">
      <w:pPr>
        <w:framePr w:w="10800" w:h="1965" w:hRule="exact" w:hSpace="187" w:wrap="auto" w:vAnchor="page" w:hAnchor="page" w:x="714" w:y="480"/>
        <w:spacing w:line="240" w:lineRule="auto"/>
        <w:jc w:val="right"/>
        <w:rPr>
          <w:rFonts w:ascii="Times New Roman" w:hAnsi="Times New Roman" w:cs="Times New Roman"/>
          <w:color w:val="1155CC"/>
          <w:sz w:val="20"/>
          <w:szCs w:val="20"/>
          <w:u w:val="single"/>
          <w:lang w:val="en-GB"/>
        </w:rPr>
      </w:pPr>
      <w:r>
        <w:rPr>
          <w:rFonts w:ascii="Times New Roman" w:hAnsi="Times New Roman" w:cs="Times New Roman"/>
          <w:sz w:val="20"/>
          <w:szCs w:val="20"/>
          <w:lang w:val="en-GB"/>
        </w:rPr>
        <w:t>Beatrice, Petrovich, University of St. Gallen,</w:t>
      </w:r>
      <w:r w:rsidRPr="00D41446">
        <w:rPr>
          <w:rFonts w:ascii="Times New Roman" w:hAnsi="Times New Roman" w:cs="Times New Roman"/>
          <w:color w:val="1155CC"/>
          <w:sz w:val="20"/>
          <w:szCs w:val="20"/>
          <w:u w:val="single"/>
          <w:lang w:val="en-GB"/>
        </w:rPr>
        <w:t xml:space="preserve"> beatrice.petrovich@unisg.ch</w:t>
      </w:r>
    </w:p>
    <w:p w:rsidR="001675B5" w:rsidRPr="0062220F" w:rsidRDefault="00455BDB" w:rsidP="00E74694">
      <w:pPr>
        <w:framePr w:w="10800" w:h="1965" w:hRule="exact" w:hSpace="187" w:wrap="auto" w:vAnchor="page" w:hAnchor="page" w:x="714" w:y="480"/>
        <w:spacing w:line="240" w:lineRule="auto"/>
        <w:jc w:val="right"/>
        <w:rPr>
          <w:rFonts w:ascii="Times New Roman" w:hAnsi="Times New Roman" w:cs="Times New Roman"/>
          <w:sz w:val="20"/>
          <w:szCs w:val="20"/>
        </w:rPr>
      </w:pPr>
      <w:r w:rsidRPr="00D41446">
        <w:rPr>
          <w:rFonts w:ascii="Times New Roman" w:hAnsi="Times New Roman" w:cs="Times New Roman"/>
          <w:sz w:val="20"/>
          <w:szCs w:val="20"/>
        </w:rPr>
        <w:t xml:space="preserve">Iain MacGill, </w:t>
      </w:r>
      <w:r w:rsidR="00B878A6">
        <w:rPr>
          <w:rFonts w:ascii="Times New Roman" w:hAnsi="Times New Roman" w:cs="Times New Roman"/>
          <w:sz w:val="20"/>
          <w:szCs w:val="20"/>
        </w:rPr>
        <w:t>CEEM/</w:t>
      </w:r>
      <w:r w:rsidRPr="00D41446">
        <w:rPr>
          <w:rFonts w:ascii="Times New Roman" w:hAnsi="Times New Roman" w:cs="Times New Roman"/>
          <w:sz w:val="20"/>
          <w:szCs w:val="20"/>
        </w:rPr>
        <w:t xml:space="preserve">UNSW Australia </w:t>
      </w:r>
      <w:hyperlink r:id="rId9" w:history="1">
        <w:r w:rsidR="0062220F" w:rsidRPr="00703075">
          <w:rPr>
            <w:rStyle w:val="Hyperlink"/>
            <w:rFonts w:ascii="Times New Roman" w:hAnsi="Times New Roman" w:cs="Times New Roman"/>
            <w:sz w:val="20"/>
            <w:szCs w:val="20"/>
          </w:rPr>
          <w:t>i.macgill@unsw.edu.au</w:t>
        </w:r>
      </w:hyperlink>
      <w:r w:rsidR="0062220F">
        <w:rPr>
          <w:rFonts w:ascii="Times New Roman" w:hAnsi="Times New Roman" w:cs="Times New Roman"/>
          <w:sz w:val="20"/>
          <w:szCs w:val="20"/>
        </w:rPr>
        <w:t xml:space="preserve"> </w:t>
      </w:r>
    </w:p>
    <w:p w:rsidR="004B3C5F" w:rsidRPr="0097573B" w:rsidRDefault="00E74694" w:rsidP="0062220F">
      <w:pPr>
        <w:pStyle w:val="Heading1"/>
        <w:spacing w:before="0"/>
        <w:jc w:val="both"/>
        <w:rPr>
          <w:szCs w:val="24"/>
          <w:lang w:val="en-GB"/>
        </w:rPr>
      </w:pPr>
      <w:r>
        <w:rPr>
          <w:szCs w:val="24"/>
          <w:lang w:val="en-GB"/>
        </w:rPr>
        <w:t>O</w:t>
      </w:r>
      <w:r w:rsidR="006C7432" w:rsidRPr="0097573B">
        <w:rPr>
          <w:szCs w:val="24"/>
          <w:lang w:val="en-GB"/>
        </w:rPr>
        <w:t>verview</w:t>
      </w:r>
    </w:p>
    <w:p w:rsidR="000E232E" w:rsidRDefault="00A92BE5" w:rsidP="008D55CB">
      <w:pPr>
        <w:pStyle w:val="Bodytext0"/>
        <w:rPr>
          <w:lang w:val="en-GB"/>
        </w:rPr>
      </w:pPr>
      <w:r w:rsidRPr="00A92BE5">
        <w:rPr>
          <w:lang w:val="en-GB"/>
        </w:rPr>
        <w:t>Australia implemented the world’s first national green certificate trading</w:t>
      </w:r>
      <w:r w:rsidR="0059664A">
        <w:rPr>
          <w:lang w:val="en-GB"/>
        </w:rPr>
        <w:t xml:space="preserve"> scheme</w:t>
      </w:r>
      <w:r>
        <w:rPr>
          <w:lang w:val="en-GB"/>
        </w:rPr>
        <w:t>, called</w:t>
      </w:r>
      <w:r w:rsidRPr="00A92BE5">
        <w:rPr>
          <w:lang w:val="en-GB"/>
        </w:rPr>
        <w:t xml:space="preserve"> </w:t>
      </w:r>
      <w:r w:rsidR="0059664A">
        <w:rPr>
          <w:lang w:val="en-GB"/>
        </w:rPr>
        <w:t xml:space="preserve">the </w:t>
      </w:r>
      <w:r w:rsidRPr="00A92BE5">
        <w:rPr>
          <w:lang w:val="en-GB"/>
        </w:rPr>
        <w:t>Mandatory Renewable Energy Target (MRET)</w:t>
      </w:r>
      <w:r w:rsidR="0059664A">
        <w:rPr>
          <w:lang w:val="en-GB"/>
        </w:rPr>
        <w:t xml:space="preserve"> in 2001. The scheme, now termed the RET, has evolved over time but remains in operation</w:t>
      </w:r>
      <w:r w:rsidRPr="00A92BE5">
        <w:rPr>
          <w:lang w:val="en-GB"/>
        </w:rPr>
        <w:t xml:space="preserve">. </w:t>
      </w:r>
      <w:r w:rsidR="00602266" w:rsidRPr="00602266">
        <w:rPr>
          <w:lang w:val="en-GB"/>
        </w:rPr>
        <w:t>The principle behind green certificate trading rests on the idea that liable entities have to surrender a number of certificates (corresponding to the</w:t>
      </w:r>
      <w:r w:rsidR="000E232E">
        <w:rPr>
          <w:lang w:val="en-GB"/>
        </w:rPr>
        <w:t>ir individual target under the</w:t>
      </w:r>
      <w:r w:rsidR="00602266" w:rsidRPr="00602266">
        <w:rPr>
          <w:lang w:val="en-GB"/>
        </w:rPr>
        <w:t xml:space="preserve"> overall </w:t>
      </w:r>
      <w:r w:rsidR="0059664A">
        <w:rPr>
          <w:lang w:val="en-GB"/>
        </w:rPr>
        <w:t xml:space="preserve">scheme </w:t>
      </w:r>
      <w:r w:rsidR="00602266" w:rsidRPr="00602266">
        <w:rPr>
          <w:lang w:val="en-GB"/>
        </w:rPr>
        <w:t>target) in a given year. Under the RET, liable entities are all wholesale purchasers of electricity (mainly electricity retailers and some large load)</w:t>
      </w:r>
      <w:r w:rsidR="0059664A">
        <w:rPr>
          <w:lang w:val="en-GB"/>
        </w:rPr>
        <w:t xml:space="preserve"> – an approach with parallels in renewable portfolio standards widely used in the US. </w:t>
      </w:r>
      <w:r w:rsidR="00602266">
        <w:rPr>
          <w:lang w:val="en-GB"/>
        </w:rPr>
        <w:t>Green c</w:t>
      </w:r>
      <w:r w:rsidR="00602266" w:rsidRPr="00602266">
        <w:rPr>
          <w:lang w:val="en-GB"/>
        </w:rPr>
        <w:t xml:space="preserve">ertificates </w:t>
      </w:r>
      <w:r w:rsidR="00BC3577">
        <w:rPr>
          <w:lang w:val="en-GB"/>
        </w:rPr>
        <w:t>– called renewable energy certificates (RECs)</w:t>
      </w:r>
      <w:r w:rsidR="00B878A6">
        <w:rPr>
          <w:lang w:val="en-GB"/>
        </w:rPr>
        <w:t xml:space="preserve"> in Australia</w:t>
      </w:r>
      <w:r w:rsidR="00BC3577">
        <w:rPr>
          <w:lang w:val="en-GB"/>
        </w:rPr>
        <w:t xml:space="preserve"> - </w:t>
      </w:r>
      <w:r w:rsidR="00602266" w:rsidRPr="00602266">
        <w:rPr>
          <w:lang w:val="en-GB"/>
        </w:rPr>
        <w:t xml:space="preserve">are created and sold by eligible renewable power plants and provide the additional revenue stream, beyond energy market returns, that makes renewable energy projects viable. </w:t>
      </w:r>
      <w:r w:rsidR="000E232E" w:rsidRPr="00602266">
        <w:rPr>
          <w:lang w:val="en-AU"/>
        </w:rPr>
        <w:t xml:space="preserve">Economic theory </w:t>
      </w:r>
      <w:r w:rsidR="0059664A">
        <w:rPr>
          <w:lang w:val="en-AU"/>
        </w:rPr>
        <w:t xml:space="preserve">generally </w:t>
      </w:r>
      <w:r w:rsidR="000E232E" w:rsidRPr="00602266">
        <w:rPr>
          <w:lang w:val="en-AU"/>
        </w:rPr>
        <w:t xml:space="preserve">assumes that such market-based instruments are highly efficient and create correct signals for investment in additional renewable energy capacity, thanks to the possibility to trade certificates between different players. In particular, under this market mechanism, liable entities are always free to choose between a) long-term securing clean electricity on their own (e.g. by means of a long power purchase agreement with a renewable energy producer or by investing by investing in “their own” renewable power plant), or b) buying certificates on the market, from other players who produce renewable energy and compete to sell the corresponding certificates. A rational choice between a) and b) should result in demand for the most cost-effective solution for the generation of clean energy: those players with </w:t>
      </w:r>
      <w:r w:rsidR="0059664A">
        <w:rPr>
          <w:lang w:val="en-AU"/>
        </w:rPr>
        <w:t xml:space="preserve">an </w:t>
      </w:r>
      <w:r w:rsidR="000E232E" w:rsidRPr="00602266">
        <w:rPr>
          <w:lang w:val="en-AU"/>
        </w:rPr>
        <w:t xml:space="preserve">“in-house” cost of renewable generation higher than the market price for </w:t>
      </w:r>
      <w:r w:rsidR="00B878A6">
        <w:rPr>
          <w:lang w:val="en-AU"/>
        </w:rPr>
        <w:t>RECs</w:t>
      </w:r>
      <w:r w:rsidR="000E232E" w:rsidRPr="00602266">
        <w:rPr>
          <w:lang w:val="en-AU"/>
        </w:rPr>
        <w:t xml:space="preserve"> should buy on the market. Moreover, active </w:t>
      </w:r>
      <w:r w:rsidR="00B878A6">
        <w:rPr>
          <w:lang w:val="en-AU"/>
        </w:rPr>
        <w:t>REC</w:t>
      </w:r>
      <w:r w:rsidR="000E232E" w:rsidRPr="00602266">
        <w:rPr>
          <w:lang w:val="en-AU"/>
        </w:rPr>
        <w:t xml:space="preserve"> trading enhances the formation of certificate </w:t>
      </w:r>
      <w:r w:rsidR="000E232E" w:rsidRPr="00602266">
        <w:rPr>
          <w:lang w:val="en-GB"/>
        </w:rPr>
        <w:t>prices which should send a signal for investment in renewable capacity.</w:t>
      </w:r>
    </w:p>
    <w:p w:rsidR="00A92BE5" w:rsidRPr="00B878A6" w:rsidRDefault="000E232E" w:rsidP="00B878A6">
      <w:pPr>
        <w:pStyle w:val="Bodytext0"/>
        <w:rPr>
          <w:lang w:val="en-GB"/>
        </w:rPr>
      </w:pPr>
      <w:r>
        <w:rPr>
          <w:lang w:val="en-GB"/>
        </w:rPr>
        <w:t xml:space="preserve">The Australian green certificate scheme has been in place for more than 15 years and its’ target and rules have changed over time. </w:t>
      </w:r>
      <w:r w:rsidR="00A92BE5" w:rsidRPr="00A92BE5">
        <w:rPr>
          <w:lang w:val="en-GB"/>
        </w:rPr>
        <w:t xml:space="preserve">The </w:t>
      </w:r>
      <w:r w:rsidR="00602266">
        <w:rPr>
          <w:lang w:val="en-GB"/>
        </w:rPr>
        <w:t>first</w:t>
      </w:r>
      <w:r w:rsidR="00A92BE5" w:rsidRPr="00A92BE5">
        <w:rPr>
          <w:lang w:val="en-GB"/>
        </w:rPr>
        <w:t xml:space="preserve"> target of </w:t>
      </w:r>
      <w:r w:rsidR="00602266">
        <w:rPr>
          <w:lang w:val="en-GB"/>
        </w:rPr>
        <w:t xml:space="preserve">the MRET was set at </w:t>
      </w:r>
      <w:r w:rsidR="00A92BE5" w:rsidRPr="00A92BE5">
        <w:rPr>
          <w:lang w:val="en-GB"/>
        </w:rPr>
        <w:t>9,500 GWh by 2010 (equivalent to an additional two per cent of renewable energy in the electricity mix)</w:t>
      </w:r>
      <w:r w:rsidR="00602266">
        <w:rPr>
          <w:lang w:val="en-GB"/>
        </w:rPr>
        <w:t>. This</w:t>
      </w:r>
      <w:r w:rsidR="00A92BE5" w:rsidRPr="00A92BE5">
        <w:rPr>
          <w:lang w:val="en-GB"/>
        </w:rPr>
        <w:t xml:space="preserve"> was comfortably achieved</w:t>
      </w:r>
      <w:r w:rsidR="0059664A">
        <w:rPr>
          <w:lang w:val="en-GB"/>
        </w:rPr>
        <w:t>,</w:t>
      </w:r>
      <w:r w:rsidR="00A92BE5" w:rsidRPr="00A92BE5">
        <w:rPr>
          <w:lang w:val="en-GB"/>
        </w:rPr>
        <w:t xml:space="preserve"> particularly through additional wind deployment. In 2009-10, the target </w:t>
      </w:r>
      <w:r w:rsidR="00A92BE5">
        <w:rPr>
          <w:lang w:val="en-GB"/>
        </w:rPr>
        <w:t xml:space="preserve">was increased </w:t>
      </w:r>
      <w:r w:rsidR="00A92BE5" w:rsidRPr="00A92BE5">
        <w:rPr>
          <w:lang w:val="en-GB"/>
        </w:rPr>
        <w:t>to 45,000 GWh by 2020 (equivalent to at least 20 per cent of electricity from renewable sources). In 2011, the RET was split into two separate mechanisms, the Large-Scale Renewable Energy Target (LRET) covering utility scale renewable projects, and the Small-Scale Renewable Energy Scheme (SRES), whic</w:t>
      </w:r>
      <w:r w:rsidR="00A92BE5">
        <w:rPr>
          <w:lang w:val="en-GB"/>
        </w:rPr>
        <w:t xml:space="preserve">h has no predefined target, </w:t>
      </w:r>
      <w:r w:rsidR="00A92BE5" w:rsidRPr="00A92BE5">
        <w:rPr>
          <w:lang w:val="en-GB"/>
        </w:rPr>
        <w:t>covering</w:t>
      </w:r>
      <w:r w:rsidR="00A92BE5">
        <w:rPr>
          <w:lang w:val="en-GB"/>
        </w:rPr>
        <w:t xml:space="preserve"> </w:t>
      </w:r>
      <w:r w:rsidR="00A92BE5" w:rsidRPr="00A92BE5">
        <w:rPr>
          <w:lang w:val="en-GB"/>
        </w:rPr>
        <w:t>residential solar and other s</w:t>
      </w:r>
      <w:r w:rsidR="00A92BE5">
        <w:rPr>
          <w:lang w:val="en-GB"/>
        </w:rPr>
        <w:t>maller scale renewable projects</w:t>
      </w:r>
      <w:r w:rsidR="00A92BE5" w:rsidRPr="00A92BE5">
        <w:rPr>
          <w:lang w:val="en-GB"/>
        </w:rPr>
        <w:t xml:space="preserve">. </w:t>
      </w:r>
      <w:r w:rsidR="00602266" w:rsidRPr="00A92BE5">
        <w:rPr>
          <w:lang w:val="en-GB"/>
        </w:rPr>
        <w:t xml:space="preserve">After a </w:t>
      </w:r>
      <w:r w:rsidR="007A538F">
        <w:rPr>
          <w:lang w:val="en-GB"/>
        </w:rPr>
        <w:t xml:space="preserve">change in government and a </w:t>
      </w:r>
      <w:r w:rsidR="00602266" w:rsidRPr="00A92BE5">
        <w:rPr>
          <w:lang w:val="en-GB"/>
        </w:rPr>
        <w:t>relatively lengthy review process lasting 18 months, in June 2015, the LRET target for 2020 was reduced significantly from 41,000 to 33, 000 GWh.</w:t>
      </w:r>
      <w:r w:rsidR="00602266">
        <w:rPr>
          <w:lang w:val="en-GB"/>
        </w:rPr>
        <w:t xml:space="preserve"> </w:t>
      </w:r>
      <w:r w:rsidR="007A538F">
        <w:rPr>
          <w:lang w:val="en-GB"/>
        </w:rPr>
        <w:t>Despite this reduction, the certainty this provided that the scheme would continue saw</w:t>
      </w:r>
      <w:r w:rsidR="00B878A6">
        <w:rPr>
          <w:lang w:val="en-GB"/>
        </w:rPr>
        <w:t xml:space="preserve"> </w:t>
      </w:r>
      <w:r w:rsidR="00BD6807">
        <w:rPr>
          <w:lang w:val="en-GB"/>
        </w:rPr>
        <w:t xml:space="preserve">large-scale generation certificate spot </w:t>
      </w:r>
      <w:r w:rsidR="00B878A6">
        <w:rPr>
          <w:lang w:val="en-GB"/>
        </w:rPr>
        <w:t>price</w:t>
      </w:r>
      <w:r w:rsidR="00BD6807">
        <w:rPr>
          <w:lang w:val="en-GB"/>
        </w:rPr>
        <w:t xml:space="preserve">s </w:t>
      </w:r>
      <w:r w:rsidR="007A538F">
        <w:rPr>
          <w:lang w:val="en-GB"/>
        </w:rPr>
        <w:t>increase</w:t>
      </w:r>
      <w:r w:rsidR="00B878A6">
        <w:rPr>
          <w:lang w:val="en-GB"/>
        </w:rPr>
        <w:t xml:space="preserve"> from </w:t>
      </w:r>
      <w:r w:rsidR="00B878A6" w:rsidRPr="00B878A6">
        <w:rPr>
          <w:lang w:val="en-GB"/>
        </w:rPr>
        <w:t xml:space="preserve">$33 at the beginning of 2015 </w:t>
      </w:r>
      <w:r w:rsidR="00BD6807">
        <w:rPr>
          <w:lang w:val="en-GB"/>
        </w:rPr>
        <w:t xml:space="preserve">to </w:t>
      </w:r>
      <w:r w:rsidR="00BD6807" w:rsidRPr="00B878A6">
        <w:rPr>
          <w:lang w:val="en-GB"/>
        </w:rPr>
        <w:t>just over $72</w:t>
      </w:r>
      <w:r w:rsidR="00BD6807">
        <w:rPr>
          <w:lang w:val="en-GB"/>
        </w:rPr>
        <w:t xml:space="preserve"> </w:t>
      </w:r>
      <w:r w:rsidR="007A538F">
        <w:rPr>
          <w:lang w:val="en-GB"/>
        </w:rPr>
        <w:t>by the end of that year</w:t>
      </w:r>
      <w:r w:rsidR="00B878A6" w:rsidRPr="00B878A6">
        <w:rPr>
          <w:lang w:val="en-GB"/>
        </w:rPr>
        <w:t xml:space="preserve">. </w:t>
      </w:r>
      <w:r w:rsidR="00BD6807">
        <w:rPr>
          <w:lang w:val="en-GB"/>
        </w:rPr>
        <w:t>Given that</w:t>
      </w:r>
      <w:r w:rsidR="00B878A6" w:rsidRPr="00B878A6">
        <w:rPr>
          <w:lang w:val="en-GB"/>
        </w:rPr>
        <w:t xml:space="preserve"> large-scale generation certificate holdings are conce</w:t>
      </w:r>
      <w:r w:rsidR="00B878A6">
        <w:rPr>
          <w:lang w:val="en-GB"/>
        </w:rPr>
        <w:t>ntrated in relatively few hands and</w:t>
      </w:r>
      <w:r w:rsidR="00BD6807">
        <w:rPr>
          <w:lang w:val="en-GB"/>
        </w:rPr>
        <w:t xml:space="preserve"> the</w:t>
      </w:r>
      <w:r w:rsidR="00B878A6" w:rsidRPr="00B878A6">
        <w:rPr>
          <w:lang w:val="en-GB"/>
        </w:rPr>
        <w:t xml:space="preserve"> liquidity in the market</w:t>
      </w:r>
      <w:r w:rsidR="00BD6807">
        <w:rPr>
          <w:lang w:val="en-GB"/>
        </w:rPr>
        <w:t xml:space="preserve"> is low, the Clean Energy Regulator expects that</w:t>
      </w:r>
      <w:r w:rsidR="00B878A6" w:rsidRPr="00B878A6">
        <w:rPr>
          <w:lang w:val="en-GB"/>
        </w:rPr>
        <w:t xml:space="preserve"> liable entities </w:t>
      </w:r>
      <w:r w:rsidR="00BD6807">
        <w:rPr>
          <w:lang w:val="en-GB"/>
        </w:rPr>
        <w:t>may not</w:t>
      </w:r>
      <w:r w:rsidR="00B878A6" w:rsidRPr="00B878A6">
        <w:rPr>
          <w:lang w:val="en-GB"/>
        </w:rPr>
        <w:t xml:space="preserve"> rely on the spot market </w:t>
      </w:r>
      <w:r w:rsidR="00BD6807">
        <w:rPr>
          <w:lang w:val="en-GB"/>
        </w:rPr>
        <w:t xml:space="preserve">in the future </w:t>
      </w:r>
      <w:r w:rsidR="00B878A6" w:rsidRPr="00B878A6">
        <w:rPr>
          <w:lang w:val="en-GB"/>
        </w:rPr>
        <w:t>to meet their futu</w:t>
      </w:r>
      <w:r w:rsidR="00BD6807">
        <w:rPr>
          <w:lang w:val="en-GB"/>
        </w:rPr>
        <w:t>re obligations.</w:t>
      </w:r>
    </w:p>
    <w:p w:rsidR="00602266" w:rsidRPr="00856B08" w:rsidRDefault="007A538F" w:rsidP="008E6D45">
      <w:pPr>
        <w:pStyle w:val="Bodytext0"/>
        <w:rPr>
          <w:rFonts w:asciiTheme="majorHAnsi" w:hAnsiTheme="majorHAnsi" w:cstheme="majorHAnsi"/>
          <w:szCs w:val="18"/>
          <w:lang w:val="en-AU"/>
        </w:rPr>
      </w:pPr>
      <w:r>
        <w:rPr>
          <w:lang w:val="en-GB"/>
        </w:rPr>
        <w:t>Along with a range of consulting reports, there have been a number of academic studies</w:t>
      </w:r>
      <w:r w:rsidR="00602266" w:rsidRPr="00602266">
        <w:rPr>
          <w:lang w:val="en-GB"/>
        </w:rPr>
        <w:t>; on the short-run impact of the RET on wholesale electricity prices (Forrest and MacGill 2013) and associated effects on retail prices and distribution of costs and</w:t>
      </w:r>
      <w:r w:rsidR="00602266">
        <w:rPr>
          <w:lang w:val="en-GB"/>
        </w:rPr>
        <w:t xml:space="preserve"> benefits (Cludius et al. 2014) as well as on the</w:t>
      </w:r>
      <w:r w:rsidR="00602266" w:rsidRPr="00602266">
        <w:rPr>
          <w:lang w:val="en-GB"/>
        </w:rPr>
        <w:t xml:space="preserve"> </w:t>
      </w:r>
      <w:r w:rsidR="00856B08">
        <w:rPr>
          <w:rFonts w:asciiTheme="majorHAnsi" w:hAnsiTheme="majorHAnsi" w:cstheme="majorHAnsi"/>
          <w:szCs w:val="18"/>
          <w:lang w:val="en-GB"/>
        </w:rPr>
        <w:t>p</w:t>
      </w:r>
      <w:r w:rsidR="00602266">
        <w:rPr>
          <w:rFonts w:asciiTheme="majorHAnsi" w:hAnsiTheme="majorHAnsi" w:cstheme="majorHAnsi"/>
          <w:szCs w:val="18"/>
          <w:lang w:val="en-GB"/>
        </w:rPr>
        <w:t xml:space="preserve">olicy design </w:t>
      </w:r>
      <w:r w:rsidR="00602266">
        <w:rPr>
          <w:rFonts w:asciiTheme="majorHAnsi" w:hAnsiTheme="majorHAnsi" w:cstheme="majorHAnsi"/>
          <w:szCs w:val="18"/>
          <w:lang w:val="en-GB"/>
        </w:rPr>
        <w:fldChar w:fldCharType="begin"/>
      </w:r>
      <w:r w:rsidR="00602266" w:rsidRPr="00602266">
        <w:rPr>
          <w:rFonts w:asciiTheme="majorHAnsi" w:hAnsiTheme="majorHAnsi" w:cstheme="majorHAnsi"/>
          <w:szCs w:val="18"/>
          <w:lang w:val="en-AU"/>
        </w:rPr>
        <w:instrText>ADDIN CITAVI.PLACEHOLDER f88acb15-2b09-41c5-af59-a8f7c630b3c4 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</w:instrText>
      </w:r>
      <w:r w:rsidR="00602266">
        <w:rPr>
          <w:rFonts w:asciiTheme="majorHAnsi" w:hAnsiTheme="majorHAnsi" w:cstheme="majorHAnsi"/>
          <w:szCs w:val="18"/>
          <w:lang w:val="en-GB"/>
        </w:rPr>
        <w:instrText>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</w:instrText>
      </w:r>
      <w:r w:rsidR="00602266">
        <w:rPr>
          <w:rFonts w:asciiTheme="majorHAnsi" w:hAnsiTheme="majorHAnsi" w:cstheme="majorHAnsi"/>
          <w:szCs w:val="18"/>
          <w:lang w:val="en-GB"/>
        </w:rPr>
        <w:fldChar w:fldCharType="separate"/>
      </w:r>
      <w:bookmarkStart w:id="0" w:name="_CTVP001f88acb152b0941c5af59a8f7c630b3c4"/>
      <w:r w:rsidR="00602266">
        <w:rPr>
          <w:rFonts w:asciiTheme="majorHAnsi" w:hAnsiTheme="majorHAnsi" w:cstheme="majorHAnsi"/>
          <w:szCs w:val="18"/>
          <w:lang w:val="en-GB"/>
        </w:rPr>
        <w:t>(Buckman and Diesendorf 2010)</w:t>
      </w:r>
      <w:bookmarkEnd w:id="0"/>
      <w:r w:rsidR="00602266">
        <w:rPr>
          <w:rFonts w:asciiTheme="majorHAnsi" w:hAnsiTheme="majorHAnsi" w:cstheme="majorHAnsi"/>
          <w:szCs w:val="18"/>
          <w:lang w:val="en-GB"/>
        </w:rPr>
        <w:fldChar w:fldCharType="end"/>
      </w:r>
      <w:r w:rsidR="00602266" w:rsidRPr="00602266">
        <w:rPr>
          <w:rFonts w:asciiTheme="majorHAnsi" w:hAnsiTheme="majorHAnsi" w:cstheme="majorHAnsi"/>
          <w:szCs w:val="18"/>
          <w:lang w:val="en-AU"/>
        </w:rPr>
        <w:t xml:space="preserve"> </w:t>
      </w:r>
      <w:r w:rsidR="00602266">
        <w:rPr>
          <w:rFonts w:asciiTheme="majorHAnsi" w:hAnsiTheme="majorHAnsi" w:cstheme="majorHAnsi"/>
          <w:szCs w:val="18"/>
          <w:lang w:val="en-AU"/>
        </w:rPr>
        <w:t xml:space="preserve">and the </w:t>
      </w:r>
      <w:r w:rsidR="00602266" w:rsidRPr="00602266">
        <w:rPr>
          <w:rFonts w:asciiTheme="majorHAnsi" w:hAnsiTheme="majorHAnsi" w:cstheme="majorHAnsi"/>
          <w:szCs w:val="18"/>
          <w:lang w:val="en-AU"/>
        </w:rPr>
        <w:t xml:space="preserve">efficiency of the market </w:t>
      </w:r>
      <w:r w:rsidR="00602266">
        <w:rPr>
          <w:rFonts w:asciiTheme="majorHAnsi" w:hAnsiTheme="majorHAnsi" w:cstheme="majorHAnsi"/>
          <w:szCs w:val="18"/>
          <w:lang w:val="en-AU"/>
        </w:rPr>
        <w:t>(</w:t>
      </w:r>
      <w:r w:rsidR="00602266">
        <w:rPr>
          <w:rFonts w:asciiTheme="majorHAnsi" w:hAnsiTheme="majorHAnsi" w:cstheme="majorHAnsi"/>
          <w:szCs w:val="18"/>
          <w:lang w:val="en-GB"/>
        </w:rPr>
        <w:fldChar w:fldCharType="begin"/>
      </w:r>
      <w:r w:rsidR="00602266">
        <w:rPr>
          <w:rFonts w:asciiTheme="majorHAnsi" w:hAnsiTheme="majorHAnsi" w:cstheme="majorHAnsi"/>
          <w:szCs w:val="18"/>
          <w:lang w:val="en-GB"/>
        </w:rPr>
        <w:instrText>ADDIN CITAVI.PLACEHOLDER 04e84189-6eba-4af3-8e39-d7219e4dbf02 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</w:instrText>
      </w:r>
      <w:r w:rsidR="00602266" w:rsidRPr="000E232E">
        <w:rPr>
          <w:rFonts w:asciiTheme="majorHAnsi" w:hAnsiTheme="majorHAnsi" w:cstheme="majorHAnsi"/>
          <w:szCs w:val="18"/>
          <w:lang w:val="en-AU"/>
        </w:rPr>
        <w:instrText>CAgICAgICA8TGFzdE5hbWU</w:instrText>
      </w:r>
      <w:r w:rsidR="00602266" w:rsidRPr="00602266">
        <w:rPr>
          <w:rFonts w:asciiTheme="majorHAnsi" w:hAnsiTheme="majorHAnsi" w:cstheme="majorHAnsi"/>
          <w:szCs w:val="18"/>
          <w:lang w:val="en-AU"/>
        </w:rPr>
        <w:instrText>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</w:instrText>
      </w:r>
      <w:r w:rsidR="00602266">
        <w:rPr>
          <w:rFonts w:asciiTheme="majorHAnsi" w:hAnsiTheme="majorHAnsi" w:cstheme="majorHAnsi"/>
          <w:szCs w:val="18"/>
          <w:lang w:val="en-GB"/>
        </w:rPr>
        <w:fldChar w:fldCharType="separate"/>
      </w:r>
      <w:bookmarkStart w:id="1" w:name="_CTVP00104e841896eba4af38e39d7219e4dbf02"/>
      <w:r w:rsidR="00602266" w:rsidRPr="00602266">
        <w:rPr>
          <w:rFonts w:asciiTheme="majorHAnsi" w:hAnsiTheme="majorHAnsi" w:cstheme="majorHAnsi"/>
          <w:szCs w:val="18"/>
          <w:lang w:val="en-AU"/>
        </w:rPr>
        <w:t>Nelson et al.</w:t>
      </w:r>
      <w:bookmarkEnd w:id="1"/>
      <w:r w:rsidR="00602266">
        <w:rPr>
          <w:rFonts w:asciiTheme="majorHAnsi" w:hAnsiTheme="majorHAnsi" w:cstheme="majorHAnsi"/>
          <w:szCs w:val="18"/>
          <w:lang w:val="en-GB"/>
        </w:rPr>
        <w:fldChar w:fldCharType="end"/>
      </w:r>
      <w:r w:rsidR="0062220F">
        <w:rPr>
          <w:rFonts w:asciiTheme="majorHAnsi" w:hAnsiTheme="majorHAnsi" w:cstheme="majorHAnsi"/>
          <w:szCs w:val="18"/>
          <w:lang w:val="en-GB"/>
        </w:rPr>
        <w:t>, 2013</w:t>
      </w:r>
      <w:r w:rsidR="00602266">
        <w:rPr>
          <w:rFonts w:asciiTheme="majorHAnsi" w:hAnsiTheme="majorHAnsi" w:cstheme="majorHAnsi"/>
          <w:szCs w:val="18"/>
          <w:lang w:val="en-GB"/>
        </w:rPr>
        <w:t>).</w:t>
      </w:r>
      <w:r w:rsidR="00602266">
        <w:rPr>
          <w:rFonts w:asciiTheme="majorHAnsi" w:hAnsiTheme="majorHAnsi" w:cstheme="majorHAnsi"/>
          <w:szCs w:val="18"/>
          <w:lang w:val="en-AU"/>
        </w:rPr>
        <w:t xml:space="preserve"> </w:t>
      </w:r>
      <w:r w:rsidR="00602266" w:rsidRPr="00602266">
        <w:rPr>
          <w:rFonts w:asciiTheme="majorHAnsi" w:hAnsiTheme="majorHAnsi" w:cstheme="majorHAnsi"/>
          <w:szCs w:val="18"/>
          <w:lang w:val="en-AU"/>
        </w:rPr>
        <w:t xml:space="preserve">However, there is little </w:t>
      </w:r>
      <w:r>
        <w:rPr>
          <w:rFonts w:asciiTheme="majorHAnsi" w:hAnsiTheme="majorHAnsi" w:cstheme="majorHAnsi"/>
          <w:szCs w:val="18"/>
          <w:lang w:val="en-AU"/>
        </w:rPr>
        <w:t>public research</w:t>
      </w:r>
      <w:r w:rsidR="00602266" w:rsidRPr="00602266">
        <w:rPr>
          <w:rFonts w:asciiTheme="majorHAnsi" w:hAnsiTheme="majorHAnsi" w:cstheme="majorHAnsi"/>
          <w:szCs w:val="18"/>
          <w:lang w:val="en-AU"/>
        </w:rPr>
        <w:t xml:space="preserve"> into </w:t>
      </w:r>
      <w:r w:rsidR="000E232E">
        <w:rPr>
          <w:rFonts w:asciiTheme="majorHAnsi" w:hAnsiTheme="majorHAnsi" w:cstheme="majorHAnsi"/>
          <w:szCs w:val="18"/>
          <w:lang w:val="en-AU"/>
        </w:rPr>
        <w:t xml:space="preserve">the </w:t>
      </w:r>
      <w:r>
        <w:rPr>
          <w:rFonts w:asciiTheme="majorHAnsi" w:hAnsiTheme="majorHAnsi" w:cstheme="majorHAnsi"/>
          <w:szCs w:val="18"/>
          <w:lang w:val="en-AU"/>
        </w:rPr>
        <w:t xml:space="preserve">operation of the certificate </w:t>
      </w:r>
      <w:r w:rsidR="00602266" w:rsidRPr="00602266">
        <w:rPr>
          <w:rFonts w:asciiTheme="majorHAnsi" w:hAnsiTheme="majorHAnsi" w:cstheme="majorHAnsi"/>
          <w:szCs w:val="18"/>
          <w:lang w:val="en-AU"/>
        </w:rPr>
        <w:t xml:space="preserve">market </w:t>
      </w:r>
      <w:r w:rsidR="000E232E">
        <w:rPr>
          <w:rFonts w:asciiTheme="majorHAnsi" w:hAnsiTheme="majorHAnsi" w:cstheme="majorHAnsi"/>
          <w:szCs w:val="18"/>
          <w:lang w:val="en-AU"/>
        </w:rPr>
        <w:t>itself</w:t>
      </w:r>
      <w:r w:rsidR="00602266" w:rsidRPr="00602266">
        <w:rPr>
          <w:rFonts w:asciiTheme="majorHAnsi" w:hAnsiTheme="majorHAnsi" w:cstheme="majorHAnsi"/>
          <w:szCs w:val="18"/>
          <w:lang w:val="en-AU"/>
        </w:rPr>
        <w:t xml:space="preserve"> and in particular on the different roles of REC market participants.</w:t>
      </w:r>
      <w:r w:rsidR="00856B08">
        <w:rPr>
          <w:rFonts w:asciiTheme="majorHAnsi" w:hAnsiTheme="majorHAnsi" w:cstheme="majorHAnsi"/>
          <w:szCs w:val="18"/>
          <w:lang w:val="en-AU"/>
        </w:rPr>
        <w:t xml:space="preserve"> </w:t>
      </w:r>
      <w:r>
        <w:rPr>
          <w:lang w:val="en-GB"/>
        </w:rPr>
        <w:t>This paper aims to address that gap by first identifying</w:t>
      </w:r>
      <w:r w:rsidR="00602266" w:rsidRPr="00602266">
        <w:rPr>
          <w:lang w:val="en-AU"/>
        </w:rPr>
        <w:t xml:space="preserve">, who are the players involved in the market for Australian large-scale green certificates, second, whether all of them are actively trading certificates, </w:t>
      </w:r>
      <w:r>
        <w:rPr>
          <w:lang w:val="en-AU"/>
        </w:rPr>
        <w:t>and most importantly</w:t>
      </w:r>
      <w:r w:rsidR="00602266" w:rsidRPr="00602266">
        <w:rPr>
          <w:lang w:val="en-AU"/>
        </w:rPr>
        <w:t xml:space="preserve">, </w:t>
      </w:r>
      <w:r w:rsidR="00856B08">
        <w:rPr>
          <w:lang w:val="en-AU"/>
        </w:rPr>
        <w:t>if we can observe</w:t>
      </w:r>
      <w:r w:rsidR="00602266" w:rsidRPr="00602266">
        <w:rPr>
          <w:lang w:val="en-AU"/>
        </w:rPr>
        <w:t xml:space="preserve"> different trading behaviours between well-defined subset of players. </w:t>
      </w:r>
      <w:r w:rsidR="00856B08" w:rsidRPr="008853A7">
        <w:t xml:space="preserve">In particular, </w:t>
      </w:r>
      <w:r w:rsidR="00856B08">
        <w:t>t</w:t>
      </w:r>
      <w:r w:rsidR="00856B08">
        <w:rPr>
          <w:rFonts w:asciiTheme="majorHAnsi" w:hAnsiTheme="majorHAnsi" w:cstheme="majorHAnsi"/>
          <w:szCs w:val="18"/>
          <w:lang w:val="en-AU"/>
        </w:rPr>
        <w:t>his paper uses a cluster analysis as an explorative tool</w:t>
      </w:r>
      <w:r w:rsidR="00856B08" w:rsidRPr="00856B08">
        <w:rPr>
          <w:rFonts w:asciiTheme="majorHAnsi" w:hAnsiTheme="majorHAnsi" w:cstheme="majorHAnsi"/>
          <w:szCs w:val="18"/>
          <w:lang w:val="en-AU"/>
        </w:rPr>
        <w:t xml:space="preserve"> </w:t>
      </w:r>
      <w:r w:rsidR="00856B08">
        <w:rPr>
          <w:rFonts w:asciiTheme="majorHAnsi" w:hAnsiTheme="majorHAnsi" w:cstheme="majorHAnsi"/>
          <w:szCs w:val="18"/>
          <w:lang w:val="en-AU"/>
        </w:rPr>
        <w:t xml:space="preserve">in order to identify interesting </w:t>
      </w:r>
      <w:r>
        <w:rPr>
          <w:rFonts w:asciiTheme="majorHAnsi" w:hAnsiTheme="majorHAnsi" w:cstheme="majorHAnsi"/>
          <w:szCs w:val="18"/>
          <w:lang w:val="en-AU"/>
        </w:rPr>
        <w:t>market participant behaviours worthy of further investigation</w:t>
      </w:r>
      <w:r w:rsidR="00856B08">
        <w:rPr>
          <w:rFonts w:asciiTheme="majorHAnsi" w:hAnsiTheme="majorHAnsi" w:cstheme="majorHAnsi"/>
          <w:szCs w:val="18"/>
          <w:lang w:val="en-AU"/>
        </w:rPr>
        <w:t xml:space="preserve">. </w:t>
      </w:r>
    </w:p>
    <w:p w:rsidR="004B3C5F" w:rsidRPr="0097573B" w:rsidRDefault="00F92DF4" w:rsidP="00CD7E4D">
      <w:pPr>
        <w:pStyle w:val="Heading1"/>
        <w:rPr>
          <w:lang w:val="en-GB"/>
        </w:rPr>
      </w:pPr>
      <w:r w:rsidRPr="0097573B">
        <w:rPr>
          <w:lang w:val="en-GB"/>
        </w:rPr>
        <w:t>Methods</w:t>
      </w:r>
    </w:p>
    <w:p w:rsidR="00C32A9F" w:rsidRDefault="00175628" w:rsidP="00BD6807">
      <w:pPr>
        <w:pStyle w:val="Bodytext0"/>
      </w:pPr>
      <w:r>
        <w:t>Cluster analysis is an explorative multivariate technique used for identifying patterns in large data sets. Large data sets can be split into clusters on the basis of information contained in these data sets on the objects and their relationship to each other (</w:t>
      </w:r>
      <w:r w:rsidR="0062220F">
        <w:t>Hair et al.</w:t>
      </w:r>
      <w:r>
        <w:t xml:space="preserve"> 2006). The aim is that those clusters exhibit high internal homogeneity and high external heterogeneity. </w:t>
      </w:r>
      <w:r w:rsidR="00BD6807">
        <w:t>In this context, a trade-off between a small number of clusters and high within-cluster homogeneity exists.</w:t>
      </w:r>
    </w:p>
    <w:p w:rsidR="00BD6807" w:rsidRDefault="00E90BD9" w:rsidP="00175628">
      <w:pPr>
        <w:pStyle w:val="Bodytext0"/>
      </w:pPr>
      <w:r>
        <w:t>In order to perform the cluster analysis, we use data from the REC registry which makes i</w:t>
      </w:r>
      <w:r w:rsidRPr="00E90BD9">
        <w:t>nformation</w:t>
      </w:r>
      <w:r>
        <w:t xml:space="preserve"> available</w:t>
      </w:r>
      <w:r w:rsidRPr="00E90BD9">
        <w:t xml:space="preserve"> of the history of each </w:t>
      </w:r>
      <w:r w:rsidR="00BC3577">
        <w:t>REC</w:t>
      </w:r>
      <w:r w:rsidRPr="00E90BD9">
        <w:t>. The history of a certificate is composed of different actions, which inc</w:t>
      </w:r>
      <w:r>
        <w:t>lude its creation, registration</w:t>
      </w:r>
      <w:r w:rsidRPr="00E90BD9">
        <w:t xml:space="preserve">, (potentially) transfer of ownership and its eventual surrender. The REC Registry displays information relating to the action itself (i.e. the type of the action, the date of the action, the account responsible for the action), </w:t>
      </w:r>
      <w:r w:rsidRPr="00E90BD9">
        <w:lastRenderedPageBreak/>
        <w:t>and to the certificate or block of certificates that is involved in the action (e.g. the status of the certificate, generation year, generation state, the technology). In order to perform our analysis, we created a database using data downloaded from the REC Registry that concern over 30 million actions on RECs carried out between 18</w:t>
      </w:r>
      <w:r w:rsidR="00BC3577">
        <w:t xml:space="preserve"> May 2001 and 9 November 2016.</w:t>
      </w:r>
      <w:r w:rsidR="00BD6807" w:rsidRPr="00BD6807">
        <w:t xml:space="preserve"> </w:t>
      </w:r>
    </w:p>
    <w:p w:rsidR="00E90BD9" w:rsidRDefault="00BD6807" w:rsidP="00175628">
      <w:pPr>
        <w:pStyle w:val="Bodytext0"/>
      </w:pPr>
      <w:r>
        <w:t xml:space="preserve">In the context of the REC Registry Database, accounts in one cluster should share similar properties regarding the activity related the creation, trade and surrender of RECs, while they are significantly different in this regard from accounts grouped into other clusters. In order to generate meaningful clusters, the properties along which accounts are to be clustered, so-called ‘cluster variables’ have to be identified (Hair et al. 2006). In this paper, we identify a total of 6 cluster variables. As each of these variables describes an important aspect related to the activity on the market for RECs, in combination they should be able to identify patterns that are shared by a number of accounts while they differ from the rest of accounts. </w:t>
      </w:r>
      <w:r w:rsidR="001452F6">
        <w:t xml:space="preserve">Using </w:t>
      </w:r>
      <w:r>
        <w:t>characteristics of the account</w:t>
      </w:r>
      <w:r w:rsidR="001452F6">
        <w:t>s</w:t>
      </w:r>
      <w:r>
        <w:t xml:space="preserve"> (e.g. liable or non-liable, sector</w:t>
      </w:r>
      <w:r w:rsidR="001452F6">
        <w:t>s</w:t>
      </w:r>
      <w:r>
        <w:t xml:space="preserve">) </w:t>
      </w:r>
      <w:r w:rsidR="001452F6">
        <w:t>each</w:t>
      </w:r>
      <w:r>
        <w:t xml:space="preserve"> </w:t>
      </w:r>
      <w:r w:rsidR="001452F6">
        <w:t>cluster composition is</w:t>
      </w:r>
      <w:r>
        <w:t xml:space="preserve"> explained. </w:t>
      </w:r>
    </w:p>
    <w:p w:rsidR="004B3C5F" w:rsidRDefault="006C7432" w:rsidP="00CD7E4D">
      <w:pPr>
        <w:pStyle w:val="Heading1"/>
        <w:rPr>
          <w:lang w:val="en-GB"/>
        </w:rPr>
      </w:pPr>
      <w:r w:rsidRPr="0097573B">
        <w:rPr>
          <w:lang w:val="en-GB"/>
        </w:rPr>
        <w:t>Results</w:t>
      </w:r>
    </w:p>
    <w:p w:rsidR="00BC3577" w:rsidRPr="00175628" w:rsidRDefault="00BC3577" w:rsidP="00BC3577">
      <w:pPr>
        <w:pStyle w:val="Bodytext0"/>
        <w:rPr>
          <w:lang w:val="en-AU"/>
        </w:rPr>
      </w:pPr>
      <w:r>
        <w:rPr>
          <w:lang w:val="en-GB"/>
        </w:rPr>
        <w:t>We find that</w:t>
      </w:r>
      <w:r w:rsidRPr="00175628">
        <w:rPr>
          <w:lang w:val="en-AU"/>
        </w:rPr>
        <w:t xml:space="preserve"> 615 different accounts performed at least one action which is relevant to our analysis, meaning that they either register</w:t>
      </w:r>
      <w:r w:rsidR="001452F6">
        <w:rPr>
          <w:lang w:val="en-AU"/>
        </w:rPr>
        <w:t>ed</w:t>
      </w:r>
      <w:r w:rsidRPr="00175628">
        <w:rPr>
          <w:lang w:val="en-AU"/>
        </w:rPr>
        <w:t xml:space="preserve">, </w:t>
      </w:r>
      <w:r>
        <w:rPr>
          <w:lang w:val="en-AU"/>
        </w:rPr>
        <w:t>bought</w:t>
      </w:r>
      <w:r w:rsidRPr="00175628">
        <w:rPr>
          <w:lang w:val="en-AU"/>
        </w:rPr>
        <w:t xml:space="preserve">, </w:t>
      </w:r>
      <w:r>
        <w:rPr>
          <w:lang w:val="en-AU"/>
        </w:rPr>
        <w:t>sold</w:t>
      </w:r>
      <w:r w:rsidRPr="00175628">
        <w:rPr>
          <w:lang w:val="en-AU"/>
        </w:rPr>
        <w:t>, surrender</w:t>
      </w:r>
      <w:r>
        <w:rPr>
          <w:lang w:val="en-AU"/>
        </w:rPr>
        <w:t>ed</w:t>
      </w:r>
      <w:r w:rsidRPr="00175628">
        <w:rPr>
          <w:lang w:val="en-AU"/>
        </w:rPr>
        <w:t xml:space="preserve"> or voluntary surrender</w:t>
      </w:r>
      <w:r>
        <w:rPr>
          <w:lang w:val="en-AU"/>
        </w:rPr>
        <w:t>ed</w:t>
      </w:r>
      <w:r w:rsidRPr="00175628">
        <w:rPr>
          <w:lang w:val="en-AU"/>
        </w:rPr>
        <w:t xml:space="preserve"> at least one </w:t>
      </w:r>
      <w:r w:rsidR="001452F6">
        <w:rPr>
          <w:lang w:val="en-AU"/>
        </w:rPr>
        <w:t>(</w:t>
      </w:r>
      <w:r w:rsidRPr="00175628">
        <w:rPr>
          <w:lang w:val="en-AU"/>
        </w:rPr>
        <w:t>large-scale</w:t>
      </w:r>
      <w:r w:rsidR="001452F6">
        <w:rPr>
          <w:lang w:val="en-AU"/>
        </w:rPr>
        <w:t>)</w:t>
      </w:r>
      <w:r w:rsidRPr="00175628">
        <w:rPr>
          <w:lang w:val="en-AU"/>
        </w:rPr>
        <w:t xml:space="preserve"> REC over the considered period.</w:t>
      </w:r>
      <w:r w:rsidRPr="00BC3577">
        <w:rPr>
          <w:lang w:val="en-AU"/>
        </w:rPr>
        <w:t xml:space="preserve"> </w:t>
      </w:r>
      <w:r w:rsidRPr="00175628">
        <w:rPr>
          <w:lang w:val="en-AU"/>
        </w:rPr>
        <w:t>Only 140 (23%) of these active accounts surrender</w:t>
      </w:r>
      <w:r>
        <w:rPr>
          <w:lang w:val="en-AU"/>
        </w:rPr>
        <w:t>ed</w:t>
      </w:r>
      <w:r w:rsidRPr="00175628">
        <w:rPr>
          <w:lang w:val="en-AU"/>
        </w:rPr>
        <w:t xml:space="preserve"> certificates mandatorily and hence </w:t>
      </w:r>
      <w:r>
        <w:rPr>
          <w:lang w:val="en-AU"/>
        </w:rPr>
        <w:t>were</w:t>
      </w:r>
      <w:r w:rsidRPr="00175628">
        <w:rPr>
          <w:lang w:val="en-AU"/>
        </w:rPr>
        <w:t xml:space="preserve"> </w:t>
      </w:r>
      <w:r>
        <w:rPr>
          <w:lang w:val="en-AU"/>
        </w:rPr>
        <w:t>a</w:t>
      </w:r>
      <w:r w:rsidRPr="00175628">
        <w:rPr>
          <w:lang w:val="en-AU"/>
        </w:rPr>
        <w:t xml:space="preserve"> liable entit</w:t>
      </w:r>
      <w:r>
        <w:rPr>
          <w:lang w:val="en-AU"/>
        </w:rPr>
        <w:t>y</w:t>
      </w:r>
      <w:r w:rsidRPr="00175628">
        <w:rPr>
          <w:lang w:val="en-AU"/>
        </w:rPr>
        <w:t>. Among the remaining non-liable entities, 10% exclusively register</w:t>
      </w:r>
      <w:r>
        <w:rPr>
          <w:lang w:val="en-AU"/>
        </w:rPr>
        <w:t>ed</w:t>
      </w:r>
      <w:r w:rsidRPr="00175628">
        <w:rPr>
          <w:lang w:val="en-AU"/>
        </w:rPr>
        <w:t xml:space="preserve"> certificates, 30% </w:t>
      </w:r>
      <w:r>
        <w:rPr>
          <w:lang w:val="en-AU"/>
        </w:rPr>
        <w:t>were</w:t>
      </w:r>
      <w:r w:rsidRPr="00175628">
        <w:rPr>
          <w:lang w:val="en-AU"/>
        </w:rPr>
        <w:t xml:space="preserve"> “pure traders”, 17% surrender</w:t>
      </w:r>
      <w:r>
        <w:rPr>
          <w:lang w:val="en-AU"/>
        </w:rPr>
        <w:t>ed</w:t>
      </w:r>
      <w:r w:rsidRPr="00175628">
        <w:rPr>
          <w:lang w:val="en-AU"/>
        </w:rPr>
        <w:t xml:space="preserve"> voluntarily, but not mandatorily; the remaining 43% perform</w:t>
      </w:r>
      <w:r w:rsidR="0062220F">
        <w:rPr>
          <w:lang w:val="en-AU"/>
        </w:rPr>
        <w:t>ed</w:t>
      </w:r>
      <w:r w:rsidRPr="00175628">
        <w:rPr>
          <w:lang w:val="en-AU"/>
        </w:rPr>
        <w:t xml:space="preserve"> a mixture of these actions (</w:t>
      </w:r>
      <w:r w:rsidR="0062220F">
        <w:rPr>
          <w:lang w:val="en-AU"/>
        </w:rPr>
        <w:t>Figure 1</w:t>
      </w:r>
      <w:r w:rsidRPr="00175628">
        <w:rPr>
          <w:lang w:val="en-AU"/>
        </w:rPr>
        <w:t>).</w:t>
      </w:r>
    </w:p>
    <w:p w:rsidR="00175628" w:rsidRDefault="00BC3577" w:rsidP="00175628">
      <w:pPr>
        <w:pStyle w:val="Bodytext0"/>
        <w:rPr>
          <w:lang w:val="en-AU"/>
        </w:rPr>
      </w:pPr>
      <w:r>
        <w:rPr>
          <w:lang w:val="en-AU"/>
        </w:rPr>
        <w:t>Similar to p</w:t>
      </w:r>
      <w:r w:rsidR="00175628" w:rsidRPr="00175628">
        <w:rPr>
          <w:lang w:val="en-AU"/>
        </w:rPr>
        <w:t xml:space="preserve">revious studies </w:t>
      </w:r>
      <w:r>
        <w:rPr>
          <w:lang w:val="en-AU"/>
        </w:rPr>
        <w:t xml:space="preserve">which </w:t>
      </w:r>
      <w:r w:rsidR="00175628" w:rsidRPr="00175628">
        <w:rPr>
          <w:lang w:val="en-AU"/>
        </w:rPr>
        <w:t xml:space="preserve">have identified </w:t>
      </w:r>
      <w:r>
        <w:rPr>
          <w:lang w:val="en-AU"/>
        </w:rPr>
        <w:t xml:space="preserve">non-liable entities such as </w:t>
      </w:r>
      <w:r w:rsidR="00175628" w:rsidRPr="00175628">
        <w:rPr>
          <w:lang w:val="en-AU"/>
        </w:rPr>
        <w:t xml:space="preserve">financial players as important participants on </w:t>
      </w:r>
      <w:r w:rsidR="0062220F">
        <w:rPr>
          <w:lang w:val="en-AU"/>
        </w:rPr>
        <w:t>the carbon market</w:t>
      </w:r>
      <w:r w:rsidR="00175628" w:rsidRPr="00175628">
        <w:rPr>
          <w:lang w:val="en-AU"/>
        </w:rPr>
        <w:t xml:space="preserve"> </w:t>
      </w:r>
      <w:r w:rsidR="0062220F">
        <w:rPr>
          <w:lang w:val="en-AU"/>
        </w:rPr>
        <w:t xml:space="preserve">for European Union Allowances </w:t>
      </w:r>
      <w:r w:rsidR="00175628" w:rsidRPr="00175628">
        <w:rPr>
          <w:lang w:val="en-AU"/>
        </w:rPr>
        <w:t>(e.g. Betz and Schmidt 2015; Cludius and Betz 2016)</w:t>
      </w:r>
      <w:r>
        <w:rPr>
          <w:lang w:val="en-AU"/>
        </w:rPr>
        <w:t xml:space="preserve"> we find </w:t>
      </w:r>
      <w:r w:rsidR="0062220F">
        <w:rPr>
          <w:lang w:val="en-AU"/>
        </w:rPr>
        <w:t>similar patterns</w:t>
      </w:r>
      <w:r w:rsidR="00175628" w:rsidRPr="00175628">
        <w:rPr>
          <w:lang w:val="en-AU"/>
        </w:rPr>
        <w:t xml:space="preserve"> in the context of the Australian </w:t>
      </w:r>
      <w:r>
        <w:rPr>
          <w:lang w:val="en-AU"/>
        </w:rPr>
        <w:t xml:space="preserve">green certificate scheme. </w:t>
      </w:r>
      <w:r w:rsidR="00175628" w:rsidRPr="00175628">
        <w:rPr>
          <w:lang w:val="en-AU"/>
        </w:rPr>
        <w:t>In fact, a minority of 20 accounts in the REC Registry Database are linked to financial players. Although few in number, a large share of the transfer activity (almost 20% of total transfers) originates from these accounts.</w:t>
      </w:r>
    </w:p>
    <w:p w:rsidR="00856B08" w:rsidRPr="007B6254" w:rsidRDefault="0062220F" w:rsidP="00856B08">
      <w:pPr>
        <w:pStyle w:val="Caption"/>
        <w:spacing w:before="120"/>
      </w:pPr>
      <w:bookmarkStart w:id="2" w:name="_Ref419188619"/>
      <w:r>
        <w:t>Figure</w:t>
      </w:r>
      <w:r w:rsidR="00856B08" w:rsidRPr="007B6254">
        <w:t xml:space="preserve"> </w:t>
      </w:r>
      <w:r w:rsidR="003A051E">
        <w:fldChar w:fldCharType="begin"/>
      </w:r>
      <w:r w:rsidR="003A051E">
        <w:instrText xml:space="preserve"> SEQ Table \* ARABIC </w:instrText>
      </w:r>
      <w:r w:rsidR="003A051E">
        <w:fldChar w:fldCharType="separate"/>
      </w:r>
      <w:r w:rsidR="00856B08">
        <w:rPr>
          <w:noProof/>
        </w:rPr>
        <w:t>1</w:t>
      </w:r>
      <w:r w:rsidR="003A051E">
        <w:rPr>
          <w:noProof/>
        </w:rPr>
        <w:fldChar w:fldCharType="end"/>
      </w:r>
      <w:bookmarkEnd w:id="2"/>
      <w:r w:rsidR="00856B08" w:rsidRPr="007B6254">
        <w:t xml:space="preserve">. </w:t>
      </w:r>
      <w:r w:rsidR="000E232E">
        <w:t>Information on active accounts</w:t>
      </w:r>
    </w:p>
    <w:p w:rsidR="00175628" w:rsidRDefault="00856B08" w:rsidP="0062220F">
      <w:pPr>
        <w:pStyle w:val="Bodytext0"/>
        <w:jc w:val="center"/>
        <w:rPr>
          <w:lang w:val="en-AU"/>
        </w:rPr>
      </w:pPr>
      <w:r>
        <w:rPr>
          <w:noProof/>
          <w:lang w:val="de-CH" w:eastAsia="de-CH"/>
        </w:rPr>
        <w:drawing>
          <wp:inline distT="0" distB="0" distL="0" distR="0" wp14:anchorId="281F7148">
            <wp:extent cx="2705691" cy="17759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322" cy="1796006"/>
                    </a:xfrm>
                    <a:prstGeom prst="rect">
                      <a:avLst/>
                    </a:prstGeom>
                    <a:noFill/>
                  </pic:spPr>
                </pic:pic>
              </a:graphicData>
            </a:graphic>
          </wp:inline>
        </w:drawing>
      </w:r>
    </w:p>
    <w:p w:rsidR="00D90879" w:rsidRPr="0097573B" w:rsidRDefault="00D90879" w:rsidP="001452F6">
      <w:pPr>
        <w:pStyle w:val="Heading1"/>
        <w:spacing w:before="0"/>
        <w:rPr>
          <w:lang w:val="en-GB"/>
        </w:rPr>
      </w:pPr>
      <w:r w:rsidRPr="009C78F0">
        <w:t>Conclusions</w:t>
      </w:r>
    </w:p>
    <w:p w:rsidR="00F216FD" w:rsidRDefault="00EF57D0" w:rsidP="00EF57D0">
      <w:pPr>
        <w:pStyle w:val="Bodytext0"/>
        <w:rPr>
          <w:lang w:val="en-GB"/>
        </w:rPr>
      </w:pPr>
      <w:r>
        <w:rPr>
          <w:lang w:val="en-GB"/>
        </w:rPr>
        <w:t>The green certificate scheme did attract - similar to other environmental markets such as the European carbon market - a large number of non-liable entities</w:t>
      </w:r>
      <w:r>
        <w:rPr>
          <w:lang w:val="en-AU" w:bidi="th-TH"/>
        </w:rPr>
        <w:t xml:space="preserve">. </w:t>
      </w:r>
      <w:r w:rsidRPr="00EF57D0">
        <w:rPr>
          <w:lang w:val="en-AU" w:bidi="th-TH"/>
        </w:rPr>
        <w:t xml:space="preserve">Further </w:t>
      </w:r>
      <w:r w:rsidR="00BA2099">
        <w:rPr>
          <w:lang w:val="en-AU" w:bidi="th-TH"/>
        </w:rPr>
        <w:t>investigation of</w:t>
      </w:r>
      <w:r>
        <w:rPr>
          <w:lang w:val="en-AU" w:bidi="th-TH"/>
        </w:rPr>
        <w:t xml:space="preserve"> the role of </w:t>
      </w:r>
      <w:r w:rsidR="001452F6">
        <w:rPr>
          <w:lang w:val="en-AU" w:bidi="th-TH"/>
        </w:rPr>
        <w:t>such non-liable entities</w:t>
      </w:r>
      <w:r>
        <w:rPr>
          <w:lang w:val="en-AU" w:bidi="th-TH"/>
        </w:rPr>
        <w:t xml:space="preserve"> in the green certificate market</w:t>
      </w:r>
      <w:r w:rsidR="001452F6">
        <w:rPr>
          <w:lang w:val="en-AU" w:bidi="th-TH"/>
        </w:rPr>
        <w:t xml:space="preserve"> </w:t>
      </w:r>
      <w:r w:rsidR="00BA2099">
        <w:rPr>
          <w:lang w:val="en-AU" w:bidi="th-TH"/>
        </w:rPr>
        <w:t>represents a worthy area for future research</w:t>
      </w:r>
      <w:r>
        <w:rPr>
          <w:lang w:val="en-AU" w:bidi="th-TH"/>
        </w:rPr>
        <w:t xml:space="preserve">. </w:t>
      </w:r>
      <w:r w:rsidR="001452F6">
        <w:rPr>
          <w:lang w:val="en-AU" w:bidi="th-TH"/>
        </w:rPr>
        <w:t>One of the derived research questions would be</w:t>
      </w:r>
      <w:r w:rsidR="00BA2099">
        <w:rPr>
          <w:lang w:val="en-AU" w:bidi="th-TH"/>
        </w:rPr>
        <w:t xml:space="preserve"> whether</w:t>
      </w:r>
      <w:r>
        <w:rPr>
          <w:lang w:val="en-AU" w:bidi="th-TH"/>
        </w:rPr>
        <w:t xml:space="preserve"> </w:t>
      </w:r>
      <w:r w:rsidR="001452F6">
        <w:rPr>
          <w:lang w:val="en-AU" w:bidi="th-TH"/>
        </w:rPr>
        <w:t>non-liable entities</w:t>
      </w:r>
      <w:r>
        <w:rPr>
          <w:lang w:val="en-AU" w:bidi="th-TH"/>
        </w:rPr>
        <w:t xml:space="preserve"> </w:t>
      </w:r>
      <w:r w:rsidR="00E74694">
        <w:rPr>
          <w:lang w:val="en-AU" w:bidi="th-TH"/>
        </w:rPr>
        <w:t xml:space="preserve">are </w:t>
      </w:r>
      <w:r w:rsidR="001452F6">
        <w:rPr>
          <w:lang w:val="en-AU" w:bidi="th-TH"/>
        </w:rPr>
        <w:t>improving liquidity and support</w:t>
      </w:r>
      <w:r>
        <w:rPr>
          <w:lang w:val="en-AU" w:bidi="th-TH"/>
        </w:rPr>
        <w:t xml:space="preserve"> the price signal or holding up certificates and increase the compliance costs for liable entities?</w:t>
      </w:r>
      <w:r w:rsidR="00E74694">
        <w:rPr>
          <w:lang w:val="en-AU" w:bidi="th-TH"/>
        </w:rPr>
        <w:t xml:space="preserve"> Other research could focus on entities involved in voluntary surrendering or compare the efficiency of retailers’ compliance and trading strategies.</w:t>
      </w:r>
    </w:p>
    <w:p w:rsidR="00A32CAB" w:rsidRPr="001452F6" w:rsidRDefault="006C7432" w:rsidP="001452F6">
      <w:pPr>
        <w:pStyle w:val="Heading1"/>
        <w:spacing w:before="120"/>
      </w:pPr>
      <w:r w:rsidRPr="001452F6">
        <w:t>References</w:t>
      </w:r>
    </w:p>
    <w:p w:rsidR="0062220F" w:rsidRPr="0062220F" w:rsidRDefault="0062220F" w:rsidP="001452F6">
      <w:pPr>
        <w:pStyle w:val="EndNoteBibliography"/>
        <w:ind w:left="142" w:hanging="142"/>
        <w:rPr>
          <w:lang w:val="en-GB"/>
        </w:rPr>
      </w:pPr>
      <w:r w:rsidRPr="0062220F">
        <w:rPr>
          <w:lang w:val="en-GB"/>
        </w:rPr>
        <w:t>Bet</w:t>
      </w:r>
      <w:r>
        <w:rPr>
          <w:lang w:val="en-GB"/>
        </w:rPr>
        <w:t>z, Regina; Schmidt, Tobias (2016</w:t>
      </w:r>
      <w:r w:rsidRPr="0062220F">
        <w:rPr>
          <w:lang w:val="en-GB"/>
        </w:rPr>
        <w:t>): Transfer patterns in Phase I of the European Union Emis</w:t>
      </w:r>
      <w:bookmarkStart w:id="3" w:name="_GoBack"/>
      <w:bookmarkEnd w:id="3"/>
      <w:r w:rsidRPr="0062220F">
        <w:rPr>
          <w:lang w:val="en-GB"/>
        </w:rPr>
        <w:t>sions Trading System: A first reality check based on clus</w:t>
      </w:r>
      <w:r>
        <w:rPr>
          <w:lang w:val="en-GB"/>
        </w:rPr>
        <w:t>ter analysis. In Climate Policy, p</w:t>
      </w:r>
      <w:r w:rsidR="00EF57D0">
        <w:rPr>
          <w:lang w:val="en-GB"/>
        </w:rPr>
        <w:t>p</w:t>
      </w:r>
      <w:r>
        <w:rPr>
          <w:lang w:val="en-GB"/>
        </w:rPr>
        <w:t xml:space="preserve">. </w:t>
      </w:r>
    </w:p>
    <w:p w:rsidR="0062220F" w:rsidRPr="0062220F" w:rsidRDefault="0062220F" w:rsidP="001452F6">
      <w:pPr>
        <w:pStyle w:val="EndNoteBibliography"/>
        <w:ind w:left="142" w:hanging="142"/>
        <w:rPr>
          <w:lang w:val="en-GB"/>
        </w:rPr>
      </w:pPr>
      <w:r w:rsidRPr="0062220F">
        <w:rPr>
          <w:lang w:val="en-GB"/>
        </w:rPr>
        <w:t>Buckman, Greg; Diesendorf, Mark (2010): Design limitations in Australian renewable electricity policies. In Energy Policy 38 (7), pp. 3365</w:t>
      </w:r>
      <w:r w:rsidRPr="0062220F">
        <w:rPr>
          <w:rFonts w:ascii="Cambria Math" w:hAnsi="Cambria Math" w:cs="Cambria Math"/>
          <w:lang w:val="en-GB"/>
        </w:rPr>
        <w:t>‐</w:t>
      </w:r>
      <w:r w:rsidRPr="0062220F">
        <w:rPr>
          <w:lang w:val="en-GB"/>
        </w:rPr>
        <w:t>3376Buckman, G. &amp; Diesendorf, M., 2010. Desig.</w:t>
      </w:r>
    </w:p>
    <w:p w:rsidR="0062220F" w:rsidRPr="0062220F" w:rsidRDefault="0062220F" w:rsidP="001452F6">
      <w:pPr>
        <w:pStyle w:val="EndNoteBibliography"/>
        <w:ind w:left="142" w:hanging="142"/>
        <w:rPr>
          <w:lang w:val="en-GB"/>
        </w:rPr>
      </w:pPr>
      <w:r w:rsidRPr="0062220F">
        <w:rPr>
          <w:lang w:val="en-GB"/>
        </w:rPr>
        <w:t>Cludius, Johanna; Betz, Regina (2016): EU Emissions Trading: The Role of Banks and Other Financial Actors - Insights from the EU Transaction Log and Interviews. ZHAW School of Management and Law, SML Working Papers (12), www.sml.zhaw.ch.</w:t>
      </w:r>
    </w:p>
    <w:p w:rsidR="0062220F" w:rsidRPr="0062220F" w:rsidRDefault="0062220F" w:rsidP="001452F6">
      <w:pPr>
        <w:pStyle w:val="EndNoteBibliography"/>
        <w:ind w:left="142" w:hanging="142"/>
        <w:rPr>
          <w:lang w:val="en-GB"/>
        </w:rPr>
      </w:pPr>
      <w:r w:rsidRPr="0062220F">
        <w:rPr>
          <w:lang w:val="en-GB"/>
        </w:rPr>
        <w:t>Cludius, Johanna; Forrest, Sam; MacGill, Iain (2014): Distributional effects of the Australian Renewable Energy Target (RET) through wholesale and retail electricity price impacts. In Energy Policy 71 (August), pp. 40–51.</w:t>
      </w:r>
    </w:p>
    <w:p w:rsidR="0062220F" w:rsidRPr="0062220F" w:rsidRDefault="0062220F" w:rsidP="001452F6">
      <w:pPr>
        <w:pStyle w:val="EndNoteBibliography"/>
        <w:ind w:left="142" w:hanging="142"/>
        <w:rPr>
          <w:lang w:val="en-GB"/>
        </w:rPr>
      </w:pPr>
      <w:r w:rsidRPr="0062220F">
        <w:rPr>
          <w:lang w:val="en-GB"/>
        </w:rPr>
        <w:t>Forrest, Sam; MacGill, Iain (2013): Assessing the impact of wind generation on wholesale prices and generator dispatch in the Australian National Electricity Market. In Energy Policy 59, pp. 120–132.</w:t>
      </w:r>
    </w:p>
    <w:p w:rsidR="0062220F" w:rsidRPr="0062220F" w:rsidRDefault="0062220F" w:rsidP="001452F6">
      <w:pPr>
        <w:pStyle w:val="EndNoteBibliography"/>
        <w:ind w:left="142" w:hanging="142"/>
        <w:rPr>
          <w:lang w:val="en-GB"/>
        </w:rPr>
      </w:pPr>
      <w:r w:rsidRPr="0062220F">
        <w:rPr>
          <w:lang w:val="en-GB"/>
        </w:rPr>
        <w:t>Hair, Joseph. F.; Anderson, Rolph. E.; Tatham, Ronald. L.; Black, William (2006): Multivariate data analysis. 5th ed. Prentice-Hall International. Upper Saddle River, NJ.</w:t>
      </w:r>
    </w:p>
    <w:p w:rsidR="001846D7" w:rsidRPr="0062220F" w:rsidRDefault="0062220F" w:rsidP="001452F6">
      <w:pPr>
        <w:pStyle w:val="EndNoteBibliography"/>
        <w:ind w:left="142" w:hanging="142"/>
        <w:rPr>
          <w:lang w:val="en-GB"/>
        </w:rPr>
      </w:pPr>
      <w:r w:rsidRPr="0062220F">
        <w:rPr>
          <w:lang w:val="en-GB"/>
        </w:rPr>
        <w:t>Nelson, Tim; Nelson, James; Ariyaratnam, Jude; Camroux, Simon (2013): An analysis of Australia’s large scale renewable energy target: Restoring market confidence. In Energy Policy 62, pp. 386–400.</w:t>
      </w:r>
    </w:p>
    <w:sectPr w:rsidR="001846D7" w:rsidRPr="0062220F">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51E" w:rsidRDefault="003A051E" w:rsidP="009B7E7D">
      <w:pPr>
        <w:spacing w:line="240" w:lineRule="auto"/>
      </w:pPr>
      <w:r>
        <w:separator/>
      </w:r>
    </w:p>
  </w:endnote>
  <w:endnote w:type="continuationSeparator" w:id="0">
    <w:p w:rsidR="003A051E" w:rsidRDefault="003A051E" w:rsidP="009B7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51E" w:rsidRDefault="003A051E" w:rsidP="009B7E7D">
      <w:pPr>
        <w:spacing w:line="240" w:lineRule="auto"/>
      </w:pPr>
      <w:r>
        <w:separator/>
      </w:r>
    </w:p>
  </w:footnote>
  <w:footnote w:type="continuationSeparator" w:id="0">
    <w:p w:rsidR="003A051E" w:rsidRDefault="003A051E" w:rsidP="009B7E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F29C0"/>
    <w:multiLevelType w:val="hybridMultilevel"/>
    <w:tmpl w:val="DD58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344E48"/>
    <w:multiLevelType w:val="hybridMultilevel"/>
    <w:tmpl w:val="5F1C2966"/>
    <w:lvl w:ilvl="0" w:tplc="99861CF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F71BAC"/>
    <w:multiLevelType w:val="hybridMultilevel"/>
    <w:tmpl w:val="A06A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 Copy&lt;/Style&gt;&lt;LeftDelim&gt;{&lt;/LeftDelim&gt;&lt;RightDelim&gt;}&lt;/RightDelim&gt;&lt;FontName&gt;Times New Roman&lt;/FontName&gt;&lt;FontSize&gt;9&lt;/FontSize&gt;&lt;ReflistTitle&gt;&lt;/ReflistTitle&gt;&lt;StartingRefnum&gt;1&lt;/StartingRefnum&gt;&lt;FirstLineIndent&gt;0&lt;/FirstLineIndent&gt;&lt;HangingIndent&gt;565&lt;/HangingIndent&gt;&lt;LineSpacing&gt;0&lt;/LineSpacing&gt;&lt;SpaceAfter&gt;0&lt;/SpaceAfter&gt;&lt;HyperlinksEnabled&gt;1&lt;/HyperlinksEnabled&gt;&lt;HyperlinksVisible&gt;0&lt;/HyperlinksVisible&gt;&lt;/ENLayout&gt;"/>
    <w:docVar w:name="EN.Libraries" w:val="&lt;Libraries&gt;&lt;item db-id=&quot;twpx9sxep5wrttetfpppv098z25vzdxfdarv&quot;&gt;postdocs&lt;record-ids&gt;&lt;item&gt;175&lt;/item&gt;&lt;item&gt;304&lt;/item&gt;&lt;/record-ids&gt;&lt;/item&gt;&lt;/Libraries&gt;"/>
  </w:docVars>
  <w:rsids>
    <w:rsidRoot w:val="004B3C5F"/>
    <w:rsid w:val="0001379F"/>
    <w:rsid w:val="000260FC"/>
    <w:rsid w:val="00034C7F"/>
    <w:rsid w:val="00065C64"/>
    <w:rsid w:val="00090E9C"/>
    <w:rsid w:val="00096758"/>
    <w:rsid w:val="000C19DD"/>
    <w:rsid w:val="000D4D7B"/>
    <w:rsid w:val="000E232E"/>
    <w:rsid w:val="000E5314"/>
    <w:rsid w:val="000F6183"/>
    <w:rsid w:val="00133A2B"/>
    <w:rsid w:val="001452F6"/>
    <w:rsid w:val="001503AF"/>
    <w:rsid w:val="001675B5"/>
    <w:rsid w:val="00175628"/>
    <w:rsid w:val="001846D7"/>
    <w:rsid w:val="0019032B"/>
    <w:rsid w:val="001D4DCD"/>
    <w:rsid w:val="001E0C55"/>
    <w:rsid w:val="001E457B"/>
    <w:rsid w:val="00204070"/>
    <w:rsid w:val="00211C82"/>
    <w:rsid w:val="002347B9"/>
    <w:rsid w:val="002679DC"/>
    <w:rsid w:val="00275979"/>
    <w:rsid w:val="00282B9E"/>
    <w:rsid w:val="002942BD"/>
    <w:rsid w:val="002B5D47"/>
    <w:rsid w:val="002D23ED"/>
    <w:rsid w:val="002E7F16"/>
    <w:rsid w:val="003039BF"/>
    <w:rsid w:val="00304948"/>
    <w:rsid w:val="00324D6F"/>
    <w:rsid w:val="00347883"/>
    <w:rsid w:val="00356DE9"/>
    <w:rsid w:val="00365305"/>
    <w:rsid w:val="0037389E"/>
    <w:rsid w:val="003A051E"/>
    <w:rsid w:val="003B559B"/>
    <w:rsid w:val="003C4167"/>
    <w:rsid w:val="003D1A89"/>
    <w:rsid w:val="003E5218"/>
    <w:rsid w:val="00435170"/>
    <w:rsid w:val="00455BDB"/>
    <w:rsid w:val="00472F3B"/>
    <w:rsid w:val="004A28AC"/>
    <w:rsid w:val="004B3C5F"/>
    <w:rsid w:val="004B6C8B"/>
    <w:rsid w:val="004C3A2D"/>
    <w:rsid w:val="004F2884"/>
    <w:rsid w:val="00513756"/>
    <w:rsid w:val="005233B2"/>
    <w:rsid w:val="00533E84"/>
    <w:rsid w:val="00545354"/>
    <w:rsid w:val="00566EA6"/>
    <w:rsid w:val="005913F9"/>
    <w:rsid w:val="00596429"/>
    <w:rsid w:val="0059664A"/>
    <w:rsid w:val="005A0D40"/>
    <w:rsid w:val="005B048E"/>
    <w:rsid w:val="005B28EF"/>
    <w:rsid w:val="005C42E0"/>
    <w:rsid w:val="005D5D07"/>
    <w:rsid w:val="005E351C"/>
    <w:rsid w:val="00602266"/>
    <w:rsid w:val="00607B3D"/>
    <w:rsid w:val="0062220F"/>
    <w:rsid w:val="00625625"/>
    <w:rsid w:val="00645E0C"/>
    <w:rsid w:val="00677BD0"/>
    <w:rsid w:val="006C7432"/>
    <w:rsid w:val="006F5114"/>
    <w:rsid w:val="007017FC"/>
    <w:rsid w:val="00702E51"/>
    <w:rsid w:val="007656FF"/>
    <w:rsid w:val="00773564"/>
    <w:rsid w:val="00781E3C"/>
    <w:rsid w:val="007860F7"/>
    <w:rsid w:val="00797608"/>
    <w:rsid w:val="007A538F"/>
    <w:rsid w:val="007C184C"/>
    <w:rsid w:val="00804875"/>
    <w:rsid w:val="00853C9C"/>
    <w:rsid w:val="008546BD"/>
    <w:rsid w:val="00855738"/>
    <w:rsid w:val="00856B08"/>
    <w:rsid w:val="008A236B"/>
    <w:rsid w:val="008A550F"/>
    <w:rsid w:val="008B45CC"/>
    <w:rsid w:val="008C66ED"/>
    <w:rsid w:val="008D55CB"/>
    <w:rsid w:val="008D56C0"/>
    <w:rsid w:val="008D7BA3"/>
    <w:rsid w:val="008E6D45"/>
    <w:rsid w:val="00901677"/>
    <w:rsid w:val="0093273C"/>
    <w:rsid w:val="00936AEA"/>
    <w:rsid w:val="00944D6D"/>
    <w:rsid w:val="009711AD"/>
    <w:rsid w:val="0097573B"/>
    <w:rsid w:val="00977520"/>
    <w:rsid w:val="00986621"/>
    <w:rsid w:val="009B7E7D"/>
    <w:rsid w:val="009C78F0"/>
    <w:rsid w:val="009D093A"/>
    <w:rsid w:val="00A00FDE"/>
    <w:rsid w:val="00A021F6"/>
    <w:rsid w:val="00A02DEB"/>
    <w:rsid w:val="00A1215E"/>
    <w:rsid w:val="00A25812"/>
    <w:rsid w:val="00A32CAB"/>
    <w:rsid w:val="00A47CA2"/>
    <w:rsid w:val="00A82FDB"/>
    <w:rsid w:val="00A921BF"/>
    <w:rsid w:val="00A92BE5"/>
    <w:rsid w:val="00AA2B96"/>
    <w:rsid w:val="00AC0638"/>
    <w:rsid w:val="00AF1C91"/>
    <w:rsid w:val="00B0091C"/>
    <w:rsid w:val="00B35B11"/>
    <w:rsid w:val="00B565D2"/>
    <w:rsid w:val="00B72F54"/>
    <w:rsid w:val="00B75418"/>
    <w:rsid w:val="00B878A6"/>
    <w:rsid w:val="00B9791C"/>
    <w:rsid w:val="00BA2099"/>
    <w:rsid w:val="00BA3321"/>
    <w:rsid w:val="00BA3C07"/>
    <w:rsid w:val="00BC29E1"/>
    <w:rsid w:val="00BC3577"/>
    <w:rsid w:val="00BD6807"/>
    <w:rsid w:val="00BF21DE"/>
    <w:rsid w:val="00BF5EA9"/>
    <w:rsid w:val="00BF792D"/>
    <w:rsid w:val="00C009F7"/>
    <w:rsid w:val="00C02DF0"/>
    <w:rsid w:val="00C248DC"/>
    <w:rsid w:val="00C32A9F"/>
    <w:rsid w:val="00C91621"/>
    <w:rsid w:val="00C93A31"/>
    <w:rsid w:val="00CA72BA"/>
    <w:rsid w:val="00CD5712"/>
    <w:rsid w:val="00CD7E4D"/>
    <w:rsid w:val="00CF4742"/>
    <w:rsid w:val="00CF517A"/>
    <w:rsid w:val="00CF7445"/>
    <w:rsid w:val="00D04D9B"/>
    <w:rsid w:val="00D121E9"/>
    <w:rsid w:val="00D20DE8"/>
    <w:rsid w:val="00D34493"/>
    <w:rsid w:val="00D41446"/>
    <w:rsid w:val="00D50BFC"/>
    <w:rsid w:val="00D6221D"/>
    <w:rsid w:val="00D90879"/>
    <w:rsid w:val="00DC1A5A"/>
    <w:rsid w:val="00DD34F0"/>
    <w:rsid w:val="00DE45C3"/>
    <w:rsid w:val="00E01D60"/>
    <w:rsid w:val="00E0685A"/>
    <w:rsid w:val="00E25CD9"/>
    <w:rsid w:val="00E74694"/>
    <w:rsid w:val="00E8207A"/>
    <w:rsid w:val="00E90BD9"/>
    <w:rsid w:val="00E92EA9"/>
    <w:rsid w:val="00EB332B"/>
    <w:rsid w:val="00EB4E24"/>
    <w:rsid w:val="00ED7527"/>
    <w:rsid w:val="00EE76F6"/>
    <w:rsid w:val="00EF57D0"/>
    <w:rsid w:val="00EF58C6"/>
    <w:rsid w:val="00EF5E02"/>
    <w:rsid w:val="00F216FD"/>
    <w:rsid w:val="00F41269"/>
    <w:rsid w:val="00F467D5"/>
    <w:rsid w:val="00F508DB"/>
    <w:rsid w:val="00F67183"/>
    <w:rsid w:val="00F76AB4"/>
    <w:rsid w:val="00F8071E"/>
    <w:rsid w:val="00F83C24"/>
    <w:rsid w:val="00F92DF4"/>
    <w:rsid w:val="00FA7EF3"/>
    <w:rsid w:val="00FE260A"/>
    <w:rsid w:val="00FF303C"/>
    <w:rsid w:val="00FF4BEB"/>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256D"/>
  <w15:docId w15:val="{FA419024-83FE-4757-93D7-5B05FCA0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AA2B96"/>
    <w:pPr>
      <w:keepNext/>
      <w:keepLines/>
      <w:spacing w:before="200" w:after="60" w:line="240" w:lineRule="auto"/>
      <w:outlineLvl w:val="0"/>
    </w:pPr>
    <w:rPr>
      <w:b/>
      <w:sz w:val="24"/>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Pr>
      <w:rFonts w:cs="Cordia New"/>
      <w:sz w:val="20"/>
      <w:szCs w:val="25"/>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7432"/>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C7432"/>
    <w:rPr>
      <w:rFonts w:ascii="Tahoma" w:hAnsi="Tahoma" w:cs="Angsana New"/>
      <w:sz w:val="16"/>
      <w:szCs w:val="20"/>
    </w:rPr>
  </w:style>
  <w:style w:type="paragraph" w:styleId="NormalWeb">
    <w:name w:val="Normal (Web)"/>
    <w:basedOn w:val="Normal"/>
    <w:uiPriority w:val="99"/>
    <w:unhideWhenUsed/>
    <w:rsid w:val="00A021F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596429"/>
    <w:rPr>
      <w:color w:val="0000FF" w:themeColor="hyperlink"/>
      <w:u w:val="single"/>
    </w:rPr>
  </w:style>
  <w:style w:type="paragraph" w:styleId="BodyText">
    <w:name w:val="Body Text"/>
    <w:basedOn w:val="Normal"/>
    <w:link w:val="BodyTextChar"/>
    <w:rsid w:val="00596429"/>
    <w:pPr>
      <w:spacing w:line="240" w:lineRule="auto"/>
    </w:pPr>
    <w:rPr>
      <w:rFonts w:ascii="Times New Roman" w:eastAsia="Times New Roman" w:hAnsi="Times New Roman" w:cs="Times New Roman"/>
      <w:color w:val="auto"/>
      <w:szCs w:val="20"/>
      <w:lang w:val="en-GB" w:eastAsia="en-US" w:bidi="ar-SA"/>
    </w:rPr>
  </w:style>
  <w:style w:type="character" w:customStyle="1" w:styleId="BodyTextChar">
    <w:name w:val="Body Text Char"/>
    <w:basedOn w:val="DefaultParagraphFont"/>
    <w:link w:val="BodyText"/>
    <w:rsid w:val="00596429"/>
    <w:rPr>
      <w:rFonts w:ascii="Times New Roman" w:eastAsia="Times New Roman" w:hAnsi="Times New Roman" w:cs="Times New Roman"/>
      <w:color w:val="auto"/>
      <w:szCs w:val="20"/>
      <w:lang w:val="en-GB" w:eastAsia="en-US" w:bidi="ar-SA"/>
    </w:rPr>
  </w:style>
  <w:style w:type="character" w:customStyle="1" w:styleId="Heading1Char">
    <w:name w:val="Heading 1 Char"/>
    <w:basedOn w:val="DefaultParagraphFont"/>
    <w:link w:val="Heading1"/>
    <w:uiPriority w:val="9"/>
    <w:rsid w:val="00AA2B96"/>
    <w:rPr>
      <w:b/>
      <w:sz w:val="24"/>
      <w:szCs w:val="40"/>
    </w:rPr>
  </w:style>
  <w:style w:type="paragraph" w:styleId="Caption">
    <w:name w:val="caption"/>
    <w:basedOn w:val="Normal"/>
    <w:next w:val="Normal"/>
    <w:link w:val="CaptionChar"/>
    <w:uiPriority w:val="35"/>
    <w:unhideWhenUsed/>
    <w:qFormat/>
    <w:rsid w:val="001503AF"/>
    <w:pPr>
      <w:spacing w:after="60" w:line="240" w:lineRule="auto"/>
      <w:jc w:val="center"/>
    </w:pPr>
    <w:rPr>
      <w:rFonts w:ascii="Times New Roman" w:hAnsi="Times New Roman" w:cs="Cordia New"/>
      <w:b/>
      <w:bCs/>
      <w:color w:val="auto"/>
      <w:sz w:val="16"/>
    </w:rPr>
  </w:style>
  <w:style w:type="paragraph" w:customStyle="1" w:styleId="Bodytext0">
    <w:name w:val="Bodytext"/>
    <w:basedOn w:val="Normal"/>
    <w:link w:val="BodytextChar0"/>
    <w:qFormat/>
    <w:rsid w:val="008E6D45"/>
    <w:pPr>
      <w:widowControl w:val="0"/>
      <w:spacing w:before="60" w:line="240" w:lineRule="auto"/>
      <w:jc w:val="both"/>
    </w:pPr>
    <w:rPr>
      <w:rFonts w:ascii="Times New Roman" w:eastAsia="Times New Roman" w:hAnsi="Times New Roman" w:cs="Times New Roman"/>
      <w:color w:val="auto"/>
      <w:sz w:val="20"/>
      <w:szCs w:val="20"/>
      <w:lang w:val="en-US" w:eastAsia="en-US" w:bidi="ar-SA"/>
    </w:rPr>
  </w:style>
  <w:style w:type="paragraph" w:customStyle="1" w:styleId="BodyText1">
    <w:name w:val="Body Text1"/>
    <w:basedOn w:val="Normal"/>
    <w:next w:val="BodyText"/>
    <w:qFormat/>
    <w:rsid w:val="00625625"/>
    <w:pPr>
      <w:spacing w:before="60" w:line="240" w:lineRule="auto"/>
      <w:jc w:val="both"/>
    </w:pPr>
    <w:rPr>
      <w:rFonts w:ascii="Times New Roman" w:eastAsia="Times New Roman" w:hAnsi="Times New Roman" w:cs="Times New Roman"/>
      <w:color w:val="auto"/>
      <w:sz w:val="20"/>
      <w:szCs w:val="20"/>
      <w:lang w:val="en-US" w:eastAsia="en-US" w:bidi="ar-SA"/>
    </w:rPr>
  </w:style>
  <w:style w:type="paragraph" w:styleId="ListParagraph">
    <w:name w:val="List Paragraph"/>
    <w:basedOn w:val="Normal"/>
    <w:uiPriority w:val="34"/>
    <w:qFormat/>
    <w:rsid w:val="00BA3321"/>
    <w:pPr>
      <w:ind w:left="720"/>
      <w:contextualSpacing/>
    </w:pPr>
    <w:rPr>
      <w:rFonts w:cs="Cordia New"/>
      <w:szCs w:val="28"/>
    </w:rPr>
  </w:style>
  <w:style w:type="paragraph" w:styleId="TOC8">
    <w:name w:val="toc 8"/>
    <w:basedOn w:val="Normal"/>
    <w:next w:val="Normal"/>
    <w:autoRedefine/>
    <w:semiHidden/>
    <w:rsid w:val="00A00FDE"/>
    <w:pPr>
      <w:spacing w:line="240" w:lineRule="auto"/>
      <w:ind w:left="1540"/>
      <w:jc w:val="both"/>
    </w:pPr>
    <w:rPr>
      <w:rFonts w:ascii="Times New Roman" w:eastAsia="Times New Roman" w:hAnsi="Times New Roman" w:cs="Times New Roman"/>
      <w:color w:val="auto"/>
      <w:sz w:val="18"/>
      <w:szCs w:val="18"/>
      <w:lang w:eastAsia="en-US" w:bidi="ar-SA"/>
    </w:rPr>
  </w:style>
  <w:style w:type="character" w:customStyle="1" w:styleId="BodytextChar0">
    <w:name w:val="Bodytext Char"/>
    <w:basedOn w:val="DefaultParagraphFont"/>
    <w:link w:val="Bodytext0"/>
    <w:rsid w:val="00A00FDE"/>
    <w:rPr>
      <w:rFonts w:ascii="Times New Roman" w:eastAsia="Times New Roman" w:hAnsi="Times New Roman" w:cs="Times New Roman"/>
      <w:color w:val="auto"/>
      <w:sz w:val="20"/>
      <w:szCs w:val="20"/>
      <w:lang w:val="en-US" w:eastAsia="en-US" w:bidi="ar-SA"/>
    </w:rPr>
  </w:style>
  <w:style w:type="paragraph" w:customStyle="1" w:styleId="EndNoteBibliographyTitle">
    <w:name w:val="EndNote Bibliography Title"/>
    <w:basedOn w:val="Normal"/>
    <w:link w:val="EndNoteBibliographyTitleChar"/>
    <w:rsid w:val="00A32CAB"/>
    <w:pPr>
      <w:jc w:val="center"/>
    </w:pPr>
    <w:rPr>
      <w:rFonts w:ascii="Times New Roman" w:hAnsi="Times New Roman" w:cs="Times New Roman"/>
      <w:noProof/>
      <w:sz w:val="18"/>
    </w:rPr>
  </w:style>
  <w:style w:type="character" w:customStyle="1" w:styleId="CaptionChar">
    <w:name w:val="Caption Char"/>
    <w:basedOn w:val="DefaultParagraphFont"/>
    <w:link w:val="Caption"/>
    <w:uiPriority w:val="35"/>
    <w:rsid w:val="00A32CAB"/>
    <w:rPr>
      <w:rFonts w:ascii="Times New Roman" w:hAnsi="Times New Roman" w:cs="Cordia New"/>
      <w:b/>
      <w:bCs/>
      <w:color w:val="auto"/>
      <w:sz w:val="16"/>
    </w:rPr>
  </w:style>
  <w:style w:type="character" w:customStyle="1" w:styleId="EndNoteBibliographyTitleChar">
    <w:name w:val="EndNote Bibliography Title Char"/>
    <w:basedOn w:val="CaptionChar"/>
    <w:link w:val="EndNoteBibliographyTitle"/>
    <w:rsid w:val="00A32CAB"/>
    <w:rPr>
      <w:rFonts w:ascii="Times New Roman" w:hAnsi="Times New Roman" w:cs="Times New Roman"/>
      <w:b w:val="0"/>
      <w:bCs w:val="0"/>
      <w:noProof/>
      <w:color w:val="auto"/>
      <w:sz w:val="18"/>
    </w:rPr>
  </w:style>
  <w:style w:type="paragraph" w:customStyle="1" w:styleId="EndNoteBibliography">
    <w:name w:val="EndNote Bibliography"/>
    <w:basedOn w:val="Normal"/>
    <w:link w:val="EndNoteBibliographyChar"/>
    <w:rsid w:val="00A32CAB"/>
    <w:pPr>
      <w:spacing w:line="240" w:lineRule="auto"/>
    </w:pPr>
    <w:rPr>
      <w:rFonts w:ascii="Times New Roman" w:hAnsi="Times New Roman" w:cs="Times New Roman"/>
      <w:noProof/>
      <w:sz w:val="18"/>
    </w:rPr>
  </w:style>
  <w:style w:type="character" w:customStyle="1" w:styleId="EndNoteBibliographyChar">
    <w:name w:val="EndNote Bibliography Char"/>
    <w:basedOn w:val="CaptionChar"/>
    <w:link w:val="EndNoteBibliography"/>
    <w:rsid w:val="00A32CAB"/>
    <w:rPr>
      <w:rFonts w:ascii="Times New Roman" w:hAnsi="Times New Roman" w:cs="Times New Roman"/>
      <w:b w:val="0"/>
      <w:bCs w:val="0"/>
      <w:noProof/>
      <w:color w:val="auto"/>
      <w:sz w:val="18"/>
    </w:rPr>
  </w:style>
  <w:style w:type="paragraph" w:styleId="FootnoteText">
    <w:name w:val="footnote text"/>
    <w:aliases w:val="E Fußn,-E Fußnotentext,Fußnotentext Ursprung,Fußnote CS Char Char,Fußnote CS Char"/>
    <w:basedOn w:val="Normal"/>
    <w:link w:val="FootnoteTextChar"/>
    <w:uiPriority w:val="99"/>
    <w:rsid w:val="002679DC"/>
    <w:pPr>
      <w:autoSpaceDE w:val="0"/>
      <w:autoSpaceDN w:val="0"/>
      <w:spacing w:before="60" w:line="240" w:lineRule="auto"/>
      <w:jc w:val="both"/>
    </w:pPr>
    <w:rPr>
      <w:rFonts w:ascii="Century Gothic" w:eastAsia="Times New Roman" w:hAnsi="Century Gothic" w:cs="Times New Roman"/>
      <w:color w:val="auto"/>
      <w:sz w:val="18"/>
      <w:szCs w:val="20"/>
      <w:lang w:eastAsia="en-US" w:bidi="ar-SA"/>
    </w:rPr>
  </w:style>
  <w:style w:type="character" w:customStyle="1" w:styleId="FootnoteTextChar">
    <w:name w:val="Footnote Text Char"/>
    <w:aliases w:val="E Fußn Char,-E Fußnotentext Char,Fußnotentext Ursprung Char,Fußnote CS Char Char Char,Fußnote CS Char Char1"/>
    <w:basedOn w:val="DefaultParagraphFont"/>
    <w:link w:val="FootnoteText"/>
    <w:uiPriority w:val="99"/>
    <w:rsid w:val="002679DC"/>
    <w:rPr>
      <w:rFonts w:ascii="Century Gothic" w:eastAsia="Times New Roman" w:hAnsi="Century Gothic" w:cs="Times New Roman"/>
      <w:color w:val="auto"/>
      <w:sz w:val="18"/>
      <w:szCs w:val="20"/>
      <w:lang w:eastAsia="en-US" w:bidi="ar-SA"/>
    </w:rPr>
  </w:style>
  <w:style w:type="character" w:styleId="FootnoteReference">
    <w:name w:val="footnote reference"/>
    <w:aliases w:val="E FNZ,-E Fußnotenzeichen,Footnote#"/>
    <w:uiPriority w:val="99"/>
    <w:rsid w:val="002679DC"/>
    <w:rPr>
      <w:vertAlign w:val="superscript"/>
    </w:rPr>
  </w:style>
  <w:style w:type="table" w:styleId="TableGrid">
    <w:name w:val="Table Grid"/>
    <w:basedOn w:val="TableNormal"/>
    <w:uiPriority w:val="59"/>
    <w:rsid w:val="002679DC"/>
    <w:pPr>
      <w:spacing w:line="240" w:lineRule="auto"/>
    </w:pPr>
    <w:rPr>
      <w:rFonts w:ascii="Times New Roman" w:eastAsia="Times New Roman" w:hAnsi="Times New Roman" w:cs="Times New Roman"/>
      <w:color w:val="auto"/>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1544">
      <w:bodyDiv w:val="1"/>
      <w:marLeft w:val="0"/>
      <w:marRight w:val="0"/>
      <w:marTop w:val="0"/>
      <w:marBottom w:val="0"/>
      <w:divBdr>
        <w:top w:val="none" w:sz="0" w:space="0" w:color="auto"/>
        <w:left w:val="none" w:sz="0" w:space="0" w:color="auto"/>
        <w:bottom w:val="none" w:sz="0" w:space="0" w:color="auto"/>
        <w:right w:val="none" w:sz="0" w:space="0" w:color="auto"/>
      </w:divBdr>
      <w:divsChild>
        <w:div w:id="1939678401">
          <w:marLeft w:val="0"/>
          <w:marRight w:val="0"/>
          <w:marTop w:val="0"/>
          <w:marBottom w:val="0"/>
          <w:divBdr>
            <w:top w:val="none" w:sz="0" w:space="0" w:color="auto"/>
            <w:left w:val="none" w:sz="0" w:space="0" w:color="auto"/>
            <w:bottom w:val="none" w:sz="0" w:space="0" w:color="auto"/>
            <w:right w:val="none" w:sz="0" w:space="0" w:color="auto"/>
          </w:divBdr>
        </w:div>
      </w:divsChild>
    </w:div>
    <w:div w:id="813566544">
      <w:bodyDiv w:val="1"/>
      <w:marLeft w:val="0"/>
      <w:marRight w:val="0"/>
      <w:marTop w:val="0"/>
      <w:marBottom w:val="0"/>
      <w:divBdr>
        <w:top w:val="none" w:sz="0" w:space="0" w:color="auto"/>
        <w:left w:val="none" w:sz="0" w:space="0" w:color="auto"/>
        <w:bottom w:val="none" w:sz="0" w:space="0" w:color="auto"/>
        <w:right w:val="none" w:sz="0" w:space="0" w:color="auto"/>
      </w:divBdr>
    </w:div>
    <w:div w:id="1461611657">
      <w:bodyDiv w:val="1"/>
      <w:marLeft w:val="0"/>
      <w:marRight w:val="0"/>
      <w:marTop w:val="0"/>
      <w:marBottom w:val="0"/>
      <w:divBdr>
        <w:top w:val="none" w:sz="0" w:space="0" w:color="auto"/>
        <w:left w:val="none" w:sz="0" w:space="0" w:color="auto"/>
        <w:bottom w:val="none" w:sz="0" w:space="0" w:color="auto"/>
        <w:right w:val="none" w:sz="0" w:space="0" w:color="auto"/>
      </w:divBdr>
    </w:div>
    <w:div w:id="1951156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d@zhaw.ch" TargetMode="External"/><Relationship Id="rId3" Type="http://schemas.openxmlformats.org/officeDocument/2006/relationships/settings" Target="settings.xml"/><Relationship Id="rId7" Type="http://schemas.openxmlformats.org/officeDocument/2006/relationships/hyperlink" Target="mailto:r.betz@unsw.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macgill@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2306</Words>
  <Characters>14535</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Peerapat</dc:creator>
  <cp:lastModifiedBy>Betz Regina (betz)</cp:lastModifiedBy>
  <cp:revision>2</cp:revision>
  <cp:lastPrinted>2015-09-23T06:18:00Z</cp:lastPrinted>
  <dcterms:created xsi:type="dcterms:W3CDTF">2017-01-13T06:13:00Z</dcterms:created>
  <dcterms:modified xsi:type="dcterms:W3CDTF">2017-01-13T06:13:00Z</dcterms:modified>
</cp:coreProperties>
</file>