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FA" w:rsidRDefault="007F72CC" w:rsidP="00087C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HOW MUCH DO</w:t>
      </w:r>
      <w:r w:rsidR="009F1E23">
        <w:rPr>
          <w:rFonts w:ascii="Times New Roman" w:hAnsi="Times New Roman" w:cs="Times New Roman"/>
          <w:b/>
          <w:i/>
          <w:sz w:val="28"/>
          <w:szCs w:val="28"/>
        </w:rPr>
        <w:t>ES INCREASING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NON</w:t>
      </w:r>
      <w:r w:rsidR="009F1E2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FOSSIL FUELS IN ELECTRICITY GENERATION REDUCE CARBON </w:t>
      </w:r>
      <w:r w:rsidR="009F1E23">
        <w:rPr>
          <w:rFonts w:ascii="Times New Roman" w:hAnsi="Times New Roman" w:cs="Times New Roman"/>
          <w:b/>
          <w:i/>
          <w:sz w:val="28"/>
          <w:szCs w:val="28"/>
        </w:rPr>
        <w:t xml:space="preserve">DIOXIDE </w:t>
      </w:r>
      <w:r>
        <w:rPr>
          <w:rFonts w:ascii="Times New Roman" w:hAnsi="Times New Roman" w:cs="Times New Roman"/>
          <w:b/>
          <w:i/>
          <w:sz w:val="28"/>
          <w:szCs w:val="28"/>
        </w:rPr>
        <w:t>EMISSIONS?</w:t>
      </w:r>
      <w:r w:rsidR="007F68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7C04" w:rsidRDefault="00087C04" w:rsidP="00087C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7C04" w:rsidRDefault="00087C04" w:rsidP="00087C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Brantley </w:t>
      </w:r>
      <w:proofErr w:type="spellStart"/>
      <w:r>
        <w:rPr>
          <w:rFonts w:ascii="Times New Roman" w:hAnsi="Times New Roman" w:cs="Times New Roman"/>
          <w:sz w:val="20"/>
          <w:szCs w:val="20"/>
        </w:rPr>
        <w:t>Liddle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,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6" w:history="1">
        <w:r w:rsidRPr="001A75ED">
          <w:rPr>
            <w:rStyle w:val="Hyperlink"/>
            <w:rFonts w:ascii="Times New Roman" w:hAnsi="Times New Roman" w:cs="Times New Roman"/>
            <w:sz w:val="20"/>
            <w:szCs w:val="20"/>
          </w:rPr>
          <w:t>btliddle@alum.mit.edu</w:t>
        </w:r>
      </w:hyperlink>
    </w:p>
    <w:p w:rsidR="00087C04" w:rsidRDefault="00087C04" w:rsidP="00087C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7C04">
        <w:rPr>
          <w:rFonts w:ascii="Times New Roman" w:hAnsi="Times New Roman" w:cs="Times New Roman"/>
          <w:sz w:val="20"/>
          <w:szCs w:val="20"/>
        </w:rPr>
        <w:t xml:space="preserve">Perry </w:t>
      </w:r>
      <w:proofErr w:type="spellStart"/>
      <w:r w:rsidRPr="00087C04">
        <w:rPr>
          <w:rFonts w:ascii="Times New Roman" w:hAnsi="Times New Roman" w:cs="Times New Roman"/>
          <w:sz w:val="20"/>
          <w:szCs w:val="20"/>
        </w:rPr>
        <w:t>Sadorsky</w:t>
      </w:r>
      <w:proofErr w:type="spellEnd"/>
      <w:r w:rsidRPr="00087C04">
        <w:rPr>
          <w:rFonts w:ascii="Times New Roman" w:hAnsi="Times New Roman" w:cs="Times New Roman"/>
          <w:sz w:val="20"/>
          <w:szCs w:val="20"/>
        </w:rPr>
        <w:t>, York</w:t>
      </w:r>
      <w:r w:rsidR="007F72CC">
        <w:rPr>
          <w:rFonts w:ascii="Times New Roman" w:hAnsi="Times New Roman" w:cs="Times New Roman"/>
          <w:sz w:val="20"/>
          <w:szCs w:val="20"/>
        </w:rPr>
        <w:t xml:space="preserve"> University</w:t>
      </w:r>
      <w:r w:rsidRPr="00087C0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E-mail:</w:t>
      </w:r>
      <w:r w:rsidRPr="00087C04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A75ED">
          <w:rPr>
            <w:rStyle w:val="Hyperlink"/>
            <w:rFonts w:ascii="Times New Roman" w:hAnsi="Times New Roman" w:cs="Times New Roman"/>
            <w:sz w:val="20"/>
            <w:szCs w:val="20"/>
          </w:rPr>
          <w:t>psadorsk@schulich.yorku.ca</w:t>
        </w:r>
      </w:hyperlink>
    </w:p>
    <w:p w:rsidR="00087C04" w:rsidRDefault="00087C04" w:rsidP="00087C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7C04" w:rsidRDefault="00087C04" w:rsidP="00087C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674E" w:rsidRPr="0009674E" w:rsidRDefault="00087C04" w:rsidP="0009674E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087C04" w:rsidRPr="009F1E23" w:rsidRDefault="009F1E23" w:rsidP="009F1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23">
        <w:rPr>
          <w:rFonts w:ascii="Times New Roman" w:hAnsi="Times New Roman" w:cs="Times New Roman"/>
          <w:sz w:val="20"/>
          <w:szCs w:val="20"/>
        </w:rPr>
        <w:t>This paper answers the question by how much does increasing non-fossil fuels in electricity generation reduce the subsequent carbon dioxide emissions, and does so by empirically examining cross-sectional time-series data. This question is a timely one: (</w:t>
      </w:r>
      <w:proofErr w:type="spellStart"/>
      <w:r w:rsidRPr="009F1E2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9F1E23">
        <w:rPr>
          <w:rFonts w:ascii="Times New Roman" w:hAnsi="Times New Roman" w:cs="Times New Roman"/>
          <w:sz w:val="20"/>
          <w:szCs w:val="20"/>
        </w:rPr>
        <w:t xml:space="preserve">) increasing the use of renewable energy sources is a popular policy goal, e.g., the UN’s “Sustainable Energy For All” goal of doubling the share of renewable energy in the global energy mix by 2030 </w:t>
      </w:r>
      <w:r>
        <w:rPr>
          <w:rFonts w:ascii="Times New Roman" w:hAnsi="Times New Roman" w:cs="Times New Roman"/>
          <w:sz w:val="20"/>
          <w:szCs w:val="20"/>
        </w:rPr>
        <w:t>&lt;http://www.se4all.org/&gt;</w:t>
      </w:r>
      <w:r w:rsidRPr="009F1E23">
        <w:rPr>
          <w:rFonts w:ascii="Times New Roman" w:hAnsi="Times New Roman" w:cs="Times New Roman"/>
          <w:sz w:val="20"/>
          <w:szCs w:val="20"/>
        </w:rPr>
        <w:t xml:space="preserve">, and the Asia-Pacific Economic Cooperation (APEC) economies’ goal of doubling the 2010 share of </w:t>
      </w:r>
      <w:proofErr w:type="spellStart"/>
      <w:r w:rsidRPr="009F1E23">
        <w:rPr>
          <w:rFonts w:ascii="Times New Roman" w:hAnsi="Times New Roman" w:cs="Times New Roman"/>
          <w:sz w:val="20"/>
          <w:szCs w:val="20"/>
        </w:rPr>
        <w:t>renewables</w:t>
      </w:r>
      <w:proofErr w:type="spellEnd"/>
      <w:r w:rsidRPr="009F1E23">
        <w:rPr>
          <w:rFonts w:ascii="Times New Roman" w:hAnsi="Times New Roman" w:cs="Times New Roman"/>
          <w:sz w:val="20"/>
          <w:szCs w:val="20"/>
        </w:rPr>
        <w:t xml:space="preserve"> in the energy supplies across APEC members by 2030 </w:t>
      </w:r>
      <w:r>
        <w:rPr>
          <w:rFonts w:ascii="Times New Roman" w:hAnsi="Times New Roman" w:cs="Times New Roman"/>
          <w:sz w:val="20"/>
          <w:szCs w:val="20"/>
        </w:rPr>
        <w:t>&lt;</w:t>
      </w:r>
      <w:r w:rsidRPr="009F1E23">
        <w:rPr>
          <w:rFonts w:ascii="Times New Roman" w:hAnsi="Times New Roman" w:cs="Times New Roman"/>
          <w:sz w:val="20"/>
          <w:szCs w:val="20"/>
        </w:rPr>
        <w:t>http://www.apec.org/Press/News-Releases/2014/1121_renewables.aspx</w:t>
      </w:r>
      <w:r>
        <w:rPr>
          <w:rFonts w:ascii="Times New Roman" w:hAnsi="Times New Roman" w:cs="Times New Roman"/>
          <w:sz w:val="20"/>
          <w:szCs w:val="20"/>
        </w:rPr>
        <w:t>&gt;</w:t>
      </w:r>
      <w:r w:rsidRPr="009F1E23">
        <w:rPr>
          <w:rFonts w:ascii="Times New Roman" w:hAnsi="Times New Roman" w:cs="Times New Roman"/>
          <w:sz w:val="20"/>
          <w:szCs w:val="20"/>
        </w:rPr>
        <w:t xml:space="preserve">; and (ii) certainly, one of the motivations of such goals is the reduction of carbon dioxide emissions (another goal is reducing fossil fuel imports from certain regions). </w:t>
      </w:r>
    </w:p>
    <w:p w:rsidR="0009674E" w:rsidRPr="0009674E" w:rsidRDefault="0009674E" w:rsidP="0009674E">
      <w:pPr>
        <w:pStyle w:val="Heading2"/>
        <w:ind w:left="-810" w:firstLine="81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Data, Models, and Methods</w:t>
      </w:r>
    </w:p>
    <w:p w:rsidR="00087C04" w:rsidRDefault="009F1E23" w:rsidP="00087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dataset is from the International Energy Agency and contains observations from 117 countries, spanning 1971-2011. This dataset is not balanced—rather, all countries with at least 20 observations are included (for several countries—particularly ex-Soviet and Yugoslav ones—data begin in 1990). The variables considered are: carbon emissions per capita from electricity and heat generation, real GDP per capita (converted at PPP), </w:t>
      </w:r>
      <w:r w:rsidR="00FD6F81">
        <w:rPr>
          <w:rFonts w:ascii="Times New Roman" w:hAnsi="Times New Roman" w:cs="Times New Roman"/>
          <w:sz w:val="20"/>
          <w:szCs w:val="20"/>
        </w:rPr>
        <w:t xml:space="preserve">electricity production from non-fossil fuel sources (i.e., nuclear and renewable) per capita, </w:t>
      </w:r>
      <w:r>
        <w:rPr>
          <w:rFonts w:ascii="Times New Roman" w:hAnsi="Times New Roman" w:cs="Times New Roman"/>
          <w:sz w:val="20"/>
          <w:szCs w:val="20"/>
        </w:rPr>
        <w:t>and the share of electricity output generated from nuclear and renewable sources (i.e., non</w:t>
      </w:r>
      <w:r w:rsidR="00FD6F81">
        <w:rPr>
          <w:rFonts w:ascii="Times New Roman" w:hAnsi="Times New Roman" w:cs="Times New Roman"/>
          <w:sz w:val="20"/>
          <w:szCs w:val="20"/>
        </w:rPr>
        <w:t>-fossil fuel sources). A</w:t>
      </w:r>
      <w:r>
        <w:rPr>
          <w:rFonts w:ascii="Times New Roman" w:hAnsi="Times New Roman" w:cs="Times New Roman"/>
          <w:sz w:val="20"/>
          <w:szCs w:val="20"/>
        </w:rPr>
        <w:t xml:space="preserve">ll variables are in natural logs. </w:t>
      </w:r>
      <w:r w:rsidR="0009674E">
        <w:rPr>
          <w:rFonts w:ascii="Times New Roman" w:hAnsi="Times New Roman" w:cs="Times New Roman"/>
          <w:sz w:val="20"/>
          <w:szCs w:val="20"/>
        </w:rPr>
        <w:t xml:space="preserve">We </w:t>
      </w:r>
      <w:r w:rsidR="00FD6F81">
        <w:rPr>
          <w:rFonts w:ascii="Times New Roman" w:hAnsi="Times New Roman" w:cs="Times New Roman"/>
          <w:sz w:val="20"/>
          <w:szCs w:val="20"/>
        </w:rPr>
        <w:t>analyse two</w:t>
      </w:r>
      <w:r w:rsidR="0009674E">
        <w:rPr>
          <w:rFonts w:ascii="Times New Roman" w:hAnsi="Times New Roman" w:cs="Times New Roman"/>
          <w:sz w:val="20"/>
          <w:szCs w:val="20"/>
        </w:rPr>
        <w:t xml:space="preserve"> lagged dependent variable </w:t>
      </w:r>
      <w:r w:rsidR="00FD6F81">
        <w:rPr>
          <w:rFonts w:ascii="Times New Roman" w:hAnsi="Times New Roman" w:cs="Times New Roman"/>
          <w:sz w:val="20"/>
          <w:szCs w:val="20"/>
        </w:rPr>
        <w:t>models</w:t>
      </w:r>
      <w:r w:rsidR="0009674E">
        <w:rPr>
          <w:rFonts w:ascii="Times New Roman" w:hAnsi="Times New Roman" w:cs="Times New Roman"/>
          <w:sz w:val="20"/>
          <w:szCs w:val="20"/>
        </w:rPr>
        <w:t>:</w:t>
      </w:r>
    </w:p>
    <w:p w:rsidR="00412375" w:rsidRDefault="00412375" w:rsidP="004123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12375" w:rsidRDefault="00FD6F81" w:rsidP="004123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12375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5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9.35pt;height:18.35pt" o:ole="">
            <v:imagedata r:id="rId8" o:title=""/>
          </v:shape>
          <o:OLEObject Type="Embed" ProgID="Equation.3" ShapeID="_x0000_i1026" DrawAspect="Content" ObjectID="_1530354151" r:id="rId9"/>
        </w:object>
      </w:r>
      <w:r w:rsidR="004123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(1)</w:t>
      </w:r>
    </w:p>
    <w:p w:rsidR="00FD6F81" w:rsidRDefault="00FD6F81" w:rsidP="004123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12375" w:rsidRDefault="00DB6582" w:rsidP="00412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375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6000" w:dyaOrig="360">
          <v:shape id="_x0000_i1025" type="#_x0000_t75" style="width:299.55pt;height:18.35pt" o:ole="">
            <v:imagedata r:id="rId10" o:title=""/>
          </v:shape>
          <o:OLEObject Type="Embed" ProgID="Equation.3" ShapeID="_x0000_i1025" DrawAspect="Content" ObjectID="_1530354152" r:id="rId11"/>
        </w:object>
      </w:r>
      <w:r w:rsidR="00412375">
        <w:rPr>
          <w:rFonts w:ascii="Times New Roman" w:hAnsi="Times New Roman" w:cs="Times New Roman"/>
          <w:sz w:val="20"/>
          <w:szCs w:val="20"/>
        </w:rPr>
        <w:tab/>
      </w:r>
      <w:r w:rsidR="00FD6F81">
        <w:rPr>
          <w:rFonts w:ascii="Times New Roman" w:hAnsi="Times New Roman" w:cs="Times New Roman"/>
          <w:sz w:val="20"/>
          <w:szCs w:val="20"/>
        </w:rPr>
        <w:tab/>
        <w:t>(2)</w:t>
      </w:r>
    </w:p>
    <w:p w:rsidR="00FD6F81" w:rsidRDefault="00FD6F81" w:rsidP="004123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D6F81" w:rsidRPr="00412375" w:rsidRDefault="00FD6F81" w:rsidP="00FD6F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12375">
        <w:rPr>
          <w:rFonts w:ascii="Times New Roman" w:hAnsi="Times New Roman" w:cs="Times New Roman"/>
          <w:sz w:val="20"/>
          <w:szCs w:val="20"/>
          <w:lang w:val="en-US"/>
        </w:rPr>
        <w:t xml:space="preserve">where subscripts </w:t>
      </w:r>
      <w:r w:rsidRPr="00412375">
        <w:rPr>
          <w:rFonts w:ascii="Times New Roman" w:hAnsi="Times New Roman" w:cs="Times New Roman"/>
          <w:i/>
          <w:sz w:val="20"/>
          <w:szCs w:val="20"/>
          <w:lang w:val="en-US"/>
        </w:rPr>
        <w:t>it</w:t>
      </w:r>
      <w:r w:rsidRPr="00412375">
        <w:rPr>
          <w:rFonts w:ascii="Times New Roman" w:hAnsi="Times New Roman" w:cs="Times New Roman"/>
          <w:sz w:val="20"/>
          <w:szCs w:val="20"/>
          <w:lang w:val="en-US"/>
        </w:rPr>
        <w:t xml:space="preserve"> denote the </w:t>
      </w:r>
      <w:proofErr w:type="spellStart"/>
      <w:r w:rsidRPr="00412375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412375">
        <w:rPr>
          <w:rFonts w:ascii="Times New Roman" w:hAnsi="Times New Roman" w:cs="Times New Roman"/>
          <w:sz w:val="20"/>
          <w:szCs w:val="20"/>
          <w:lang w:val="en-US"/>
        </w:rPr>
        <w:t>th</w:t>
      </w:r>
      <w:proofErr w:type="spellEnd"/>
      <w:r w:rsidRPr="00412375">
        <w:rPr>
          <w:rFonts w:ascii="Times New Roman" w:hAnsi="Times New Roman" w:cs="Times New Roman"/>
          <w:sz w:val="20"/>
          <w:szCs w:val="20"/>
          <w:lang w:val="en-US"/>
        </w:rPr>
        <w:t xml:space="preserve"> cross-section and </w:t>
      </w:r>
      <w:proofErr w:type="spellStart"/>
      <w:r w:rsidRPr="00412375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412375">
        <w:rPr>
          <w:rFonts w:ascii="Times New Roman" w:hAnsi="Times New Roman" w:cs="Times New Roman"/>
          <w:sz w:val="20"/>
          <w:szCs w:val="20"/>
          <w:lang w:val="en-US"/>
        </w:rPr>
        <w:t>th</w:t>
      </w:r>
      <w:proofErr w:type="spellEnd"/>
      <w:r w:rsidRPr="00412375">
        <w:rPr>
          <w:rFonts w:ascii="Times New Roman" w:hAnsi="Times New Roman" w:cs="Times New Roman"/>
          <w:sz w:val="20"/>
          <w:szCs w:val="20"/>
          <w:lang w:val="en-US"/>
        </w:rPr>
        <w:t xml:space="preserve"> time period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CO2E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12375">
        <w:rPr>
          <w:rFonts w:ascii="Times New Roman" w:hAnsi="Times New Roman" w:cs="Times New Roman"/>
          <w:i/>
          <w:sz w:val="20"/>
          <w:szCs w:val="20"/>
          <w:lang w:val="en-US"/>
        </w:rPr>
        <w:t>GDP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12375">
        <w:rPr>
          <w:rFonts w:ascii="Times New Roman" w:hAnsi="Times New Roman" w:cs="Times New Roman"/>
          <w:i/>
          <w:sz w:val="20"/>
          <w:szCs w:val="20"/>
          <w:lang w:val="en-US"/>
        </w:rPr>
        <w:t>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proofErr w:type="spellStart"/>
      <w:r w:rsidRPr="00DB6582">
        <w:rPr>
          <w:rFonts w:ascii="Times New Roman" w:hAnsi="Times New Roman" w:cs="Times New Roman"/>
          <w:i/>
          <w:sz w:val="20"/>
          <w:szCs w:val="20"/>
          <w:lang w:val="en-US"/>
        </w:rPr>
        <w:t>shRE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are carbon emissions from </w:t>
      </w:r>
      <w:r>
        <w:rPr>
          <w:rFonts w:ascii="Times New Roman" w:hAnsi="Times New Roman" w:cs="Times New Roman"/>
          <w:sz w:val="20"/>
          <w:szCs w:val="20"/>
        </w:rPr>
        <w:t xml:space="preserve">electricity production, real GDP per capita, electricity consumption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nonfossil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fuel sources per capita, and the share of  electricity production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nonfossil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fuel sources, respectively</w:t>
      </w:r>
      <w:r w:rsidRPr="0041237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412375">
        <w:rPr>
          <w:rFonts w:ascii="Times New Roman" w:hAnsi="Times New Roman" w:cs="Times New Roman"/>
          <w:sz w:val="20"/>
          <w:szCs w:val="20"/>
          <w:lang w:val="en-US"/>
        </w:rPr>
        <w:t>he slope coefficients (</w:t>
      </w:r>
      <w:proofErr w:type="spellStart"/>
      <w:r w:rsidRPr="00412375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41237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1237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12375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41237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37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12375">
        <w:rPr>
          <w:rFonts w:ascii="Times New Roman" w:hAnsi="Times New Roman" w:cs="Times New Roman"/>
          <w:i/>
          <w:sz w:val="20"/>
          <w:szCs w:val="20"/>
          <w:lang w:val="en-US"/>
        </w:rPr>
        <w:t>c</w:t>
      </w:r>
      <w:r w:rsidRPr="0041237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1237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 xml:space="preserve">, </w:t>
      </w:r>
      <w:r w:rsidRPr="0041237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and </w:t>
      </w:r>
      <w:proofErr w:type="spellStart"/>
      <w:r w:rsidRPr="00412375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412375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proofErr w:type="spellEnd"/>
      <w:r w:rsidRPr="00412375">
        <w:rPr>
          <w:rFonts w:ascii="Times New Roman" w:hAnsi="Times New Roman" w:cs="Times New Roman"/>
          <w:sz w:val="20"/>
          <w:szCs w:val="20"/>
          <w:lang w:val="en-US"/>
        </w:rPr>
        <w:t xml:space="preserve">) are heterogeneous, the constant </w:t>
      </w:r>
      <w:r w:rsidRPr="00412375">
        <w:rPr>
          <w:rFonts w:ascii="Times New Roman" w:hAnsi="Times New Roman" w:cs="Times New Roman"/>
          <w:sz w:val="20"/>
          <w:szCs w:val="20"/>
          <w:lang w:val="en-US"/>
        </w:rPr>
        <w:object w:dxaOrig="240" w:dyaOrig="220">
          <v:shape id="_x0000_i1027" type="#_x0000_t75" style="width:12.25pt;height:11.55pt" o:ole="">
            <v:imagedata r:id="rId12" o:title=""/>
          </v:shape>
          <o:OLEObject Type="Embed" ProgID="Equation.DSMT4" ShapeID="_x0000_i1027" DrawAspect="Content" ObjectID="_1530354153" r:id="rId13"/>
        </w:object>
      </w:r>
      <w:r w:rsidRPr="00412375">
        <w:rPr>
          <w:rFonts w:ascii="Times New Roman" w:hAnsi="Times New Roman" w:cs="Times New Roman"/>
          <w:sz w:val="20"/>
          <w:szCs w:val="20"/>
          <w:lang w:val="en-US"/>
        </w:rPr>
        <w:t>represents country-specific effects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r w:rsidRPr="00412375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is an error term</w:t>
      </w:r>
      <w:r w:rsidRPr="0041237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D6F81" w:rsidRDefault="00FD6F81" w:rsidP="00FD6F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C04" w:rsidRDefault="00FC483E" w:rsidP="00087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Because we know/suspect the data exhibit both cross-sectional correlation and nonstationarity, we employ two heterogeneous panel estimators:</w:t>
      </w:r>
      <w:r w:rsidRPr="00FC483E">
        <w:rPr>
          <w:rFonts w:ascii="Calibri" w:eastAsia="Calibri" w:hAnsi="Calibri" w:cs="Times New Roman"/>
          <w:szCs w:val="24"/>
          <w:lang w:val="en-US"/>
        </w:rPr>
        <w:t xml:space="preserve"> </w:t>
      </w:r>
      <w:r w:rsidRPr="00FC483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Pr="00FC483E">
        <w:rPr>
          <w:rFonts w:ascii="Times New Roman" w:hAnsi="Times New Roman" w:cs="Times New Roman"/>
          <w:sz w:val="20"/>
          <w:szCs w:val="20"/>
          <w:lang w:val="en-US"/>
        </w:rPr>
        <w:t>Pesaran</w:t>
      </w:r>
      <w:proofErr w:type="spellEnd"/>
      <w:r w:rsidRPr="00FC483E">
        <w:rPr>
          <w:rFonts w:ascii="Times New Roman" w:hAnsi="Times New Roman" w:cs="Times New Roman"/>
          <w:sz w:val="20"/>
          <w:szCs w:val="20"/>
          <w:lang w:val="en-US"/>
        </w:rPr>
        <w:t xml:space="preserve"> (2006) common correlated effects mean group estimator (CMG)</w:t>
      </w:r>
      <w:r w:rsidR="00B02B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C483E">
        <w:rPr>
          <w:rFonts w:ascii="Times New Roman" w:hAnsi="Times New Roman" w:cs="Times New Roman"/>
          <w:sz w:val="20"/>
          <w:szCs w:val="20"/>
          <w:lang w:val="en-US"/>
        </w:rPr>
        <w:t xml:space="preserve">and augmented mean group (AMG) estimator by </w:t>
      </w:r>
      <w:proofErr w:type="spellStart"/>
      <w:r w:rsidRPr="00FC483E">
        <w:rPr>
          <w:rFonts w:ascii="Times New Roman" w:hAnsi="Times New Roman" w:cs="Times New Roman"/>
          <w:sz w:val="20"/>
          <w:szCs w:val="20"/>
          <w:lang w:val="en-US"/>
        </w:rPr>
        <w:t>Eberhardt</w:t>
      </w:r>
      <w:proofErr w:type="spellEnd"/>
      <w:r w:rsidRPr="00FC483E">
        <w:rPr>
          <w:rFonts w:ascii="Times New Roman" w:hAnsi="Times New Roman" w:cs="Times New Roman"/>
          <w:sz w:val="20"/>
          <w:szCs w:val="20"/>
          <w:lang w:val="en-US"/>
        </w:rPr>
        <w:t xml:space="preserve"> and Teal (2010). The CMG estimator accounts for the presence of unobserved common factors by including in the regression cross-section averages of the dependent and independent variables. The AMG estimator accounts for cross-sectional dependence by including in the regression a common dynamic process—which is extracted from year dummy coefficients of a pooled regression in first differences.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2BBF">
        <w:rPr>
          <w:rFonts w:ascii="Times New Roman" w:hAnsi="Times New Roman" w:cs="Times New Roman"/>
          <w:sz w:val="20"/>
          <w:szCs w:val="20"/>
        </w:rPr>
        <w:t xml:space="preserve">Both estimators are robust to nonstationarity, cointegration, breaks, and serial correlation, and at least mitigate, if not fully address, cross-sectional correlation. </w:t>
      </w:r>
      <w:r>
        <w:rPr>
          <w:rFonts w:ascii="Times New Roman" w:hAnsi="Times New Roman" w:cs="Times New Roman"/>
          <w:sz w:val="20"/>
          <w:szCs w:val="20"/>
        </w:rPr>
        <w:t>In addition to capturing omitted variables, the lagged dependent variable model allows for the estimation of short-run and long-run coefficients (the confidence intervals for the long-run coefficients are based on the delta method).</w:t>
      </w:r>
    </w:p>
    <w:p w:rsidR="00DB6582" w:rsidRDefault="00DB6582" w:rsidP="00087C04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Results and Discussion</w:t>
      </w:r>
    </w:p>
    <w:p w:rsidR="00DF7B7B" w:rsidRDefault="00DF7B7B" w:rsidP="00DF7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2E8E">
        <w:rPr>
          <w:rFonts w:ascii="Times New Roman" w:hAnsi="Times New Roman" w:cs="Times New Roman"/>
          <w:sz w:val="20"/>
          <w:szCs w:val="20"/>
        </w:rPr>
        <w:t xml:space="preserve">As Table </w:t>
      </w:r>
      <w:r>
        <w:rPr>
          <w:rFonts w:ascii="Times New Roman" w:hAnsi="Times New Roman" w:cs="Times New Roman"/>
          <w:sz w:val="20"/>
          <w:szCs w:val="20"/>
        </w:rPr>
        <w:t>1,</w:t>
      </w:r>
      <w:r w:rsidRPr="00AF2E8E">
        <w:rPr>
          <w:rFonts w:ascii="Times New Roman" w:hAnsi="Times New Roman" w:cs="Times New Roman"/>
          <w:sz w:val="20"/>
          <w:szCs w:val="20"/>
        </w:rPr>
        <w:t xml:space="preserve"> reports, we estimate elasticities for non-fossil fuel consumption of </w:t>
      </w:r>
      <w:r>
        <w:rPr>
          <w:rFonts w:ascii="Times New Roman" w:hAnsi="Times New Roman" w:cs="Times New Roman"/>
          <w:sz w:val="20"/>
          <w:szCs w:val="20"/>
        </w:rPr>
        <w:t>approximately</w:t>
      </w:r>
      <w:r w:rsidRPr="00AF2E8E">
        <w:rPr>
          <w:rFonts w:ascii="Times New Roman" w:hAnsi="Times New Roman" w:cs="Times New Roman"/>
          <w:sz w:val="20"/>
          <w:szCs w:val="20"/>
        </w:rPr>
        <w:t xml:space="preserve"> -0.3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F2E8E">
        <w:rPr>
          <w:rFonts w:ascii="Times New Roman" w:hAnsi="Times New Roman" w:cs="Times New Roman"/>
          <w:sz w:val="20"/>
          <w:szCs w:val="20"/>
        </w:rPr>
        <w:t>. So in the long-run, a 1% increase in non-fossil fuel-generated electricity consumption reduces carbon emissions from electricity generation by only a third of one percent. Of course, there are several reasons why one might not expect full, one-to-one displacement of CO</w:t>
      </w:r>
      <w:r w:rsidRPr="00AF2E8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F2E8E">
        <w:rPr>
          <w:rFonts w:ascii="Times New Roman" w:hAnsi="Times New Roman" w:cs="Times New Roman"/>
          <w:sz w:val="20"/>
          <w:szCs w:val="20"/>
        </w:rPr>
        <w:t xml:space="preserve"> emissions. </w:t>
      </w:r>
      <w:r>
        <w:rPr>
          <w:rFonts w:ascii="Times New Roman" w:hAnsi="Times New Roman" w:cs="Times New Roman"/>
          <w:sz w:val="20"/>
          <w:szCs w:val="20"/>
        </w:rPr>
        <w:t>Not the least is that</w:t>
      </w:r>
      <w:r w:rsidRPr="00AF2E8E">
        <w:rPr>
          <w:rFonts w:ascii="Times New Roman" w:hAnsi="Times New Roman" w:cs="Times New Roman"/>
          <w:sz w:val="20"/>
          <w:szCs w:val="20"/>
        </w:rPr>
        <w:t xml:space="preserve"> it matters how </w:t>
      </w:r>
      <w:proofErr w:type="spellStart"/>
      <w:r w:rsidRPr="00AF2E8E">
        <w:rPr>
          <w:rFonts w:ascii="Times New Roman" w:hAnsi="Times New Roman" w:cs="Times New Roman"/>
          <w:sz w:val="20"/>
          <w:szCs w:val="20"/>
        </w:rPr>
        <w:t>renewables</w:t>
      </w:r>
      <w:proofErr w:type="spellEnd"/>
      <w:r w:rsidRPr="00AF2E8E">
        <w:rPr>
          <w:rFonts w:ascii="Times New Roman" w:hAnsi="Times New Roman" w:cs="Times New Roman"/>
          <w:sz w:val="20"/>
          <w:szCs w:val="20"/>
        </w:rPr>
        <w:t xml:space="preserve"> are </w:t>
      </w:r>
      <w:r w:rsidRPr="00AF2E8E">
        <w:rPr>
          <w:rFonts w:ascii="Times New Roman" w:hAnsi="Times New Roman" w:cs="Times New Roman"/>
          <w:sz w:val="20"/>
          <w:szCs w:val="20"/>
        </w:rPr>
        <w:lastRenderedPageBreak/>
        <w:t xml:space="preserve">encouraged: if </w:t>
      </w:r>
      <w:proofErr w:type="spellStart"/>
      <w:r w:rsidRPr="00AF2E8E">
        <w:rPr>
          <w:rFonts w:ascii="Times New Roman" w:hAnsi="Times New Roman" w:cs="Times New Roman"/>
          <w:sz w:val="20"/>
          <w:szCs w:val="20"/>
        </w:rPr>
        <w:t>renewables</w:t>
      </w:r>
      <w:proofErr w:type="spellEnd"/>
      <w:r w:rsidRPr="00AF2E8E">
        <w:rPr>
          <w:rFonts w:ascii="Times New Roman" w:hAnsi="Times New Roman" w:cs="Times New Roman"/>
          <w:sz w:val="20"/>
          <w:szCs w:val="20"/>
        </w:rPr>
        <w:t xml:space="preserve"> increase because of subsidies, then energy demand has been stimulated, and fossil fuels may not decline much. </w:t>
      </w:r>
    </w:p>
    <w:p w:rsidR="00D07BC4" w:rsidRPr="00DF7B7B" w:rsidRDefault="00D07BC4" w:rsidP="00DB6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6582" w:rsidRPr="00DF7B7B" w:rsidRDefault="00DF7B7B" w:rsidP="00DB6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2E8E">
        <w:rPr>
          <w:rFonts w:ascii="Times New Roman" w:hAnsi="Times New Roman" w:cs="Times New Roman"/>
          <w:sz w:val="20"/>
          <w:szCs w:val="20"/>
          <w:lang w:val="en-GB"/>
        </w:rPr>
        <w:t xml:space="preserve">By contrast, the displacement/reduction </w:t>
      </w:r>
      <w:proofErr w:type="spellStart"/>
      <w:r w:rsidRPr="00AF2E8E">
        <w:rPr>
          <w:rFonts w:ascii="Times New Roman" w:hAnsi="Times New Roman" w:cs="Times New Roman"/>
          <w:sz w:val="20"/>
          <w:szCs w:val="20"/>
          <w:lang w:val="en-GB"/>
        </w:rPr>
        <w:t>elasticities</w:t>
      </w:r>
      <w:proofErr w:type="spellEnd"/>
      <w:r w:rsidRPr="00AF2E8E">
        <w:rPr>
          <w:rFonts w:ascii="Times New Roman" w:hAnsi="Times New Roman" w:cs="Times New Roman"/>
          <w:sz w:val="20"/>
          <w:szCs w:val="20"/>
          <w:lang w:val="en-GB"/>
        </w:rPr>
        <w:t xml:space="preserve"> for carbon dioxide emissions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for the </w:t>
      </w:r>
      <w:r w:rsidRPr="00AF2E8E">
        <w:rPr>
          <w:rFonts w:ascii="Times New Roman" w:hAnsi="Times New Roman" w:cs="Times New Roman"/>
          <w:i/>
          <w:sz w:val="20"/>
          <w:szCs w:val="20"/>
          <w:lang w:val="en-GB"/>
        </w:rPr>
        <w:t>share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of non-fossil fuels</w:t>
      </w:r>
      <w:r w:rsidRPr="00AF2E8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 substantially larger</w:t>
      </w:r>
      <w:r w:rsidRPr="00AF2E8E">
        <w:rPr>
          <w:rFonts w:ascii="Times New Roman" w:hAnsi="Times New Roman" w:cs="Times New Roman"/>
          <w:sz w:val="20"/>
          <w:szCs w:val="20"/>
          <w:lang w:val="en-GB"/>
        </w:rPr>
        <w:t>. Indeed, the long-run estimations suggest that a shift toward non-fossil fuel sources lower carbon emissions from electricity production by about 75%, i.e., a one percent increase in the fuel mix toward non-fossil fuel sources lowers carbon emissions by 3/4 of one percent.</w:t>
      </w:r>
      <w:r w:rsidR="003B2275">
        <w:rPr>
          <w:rFonts w:ascii="Times New Roman" w:hAnsi="Times New Roman" w:cs="Times New Roman"/>
          <w:sz w:val="20"/>
          <w:szCs w:val="20"/>
          <w:lang w:val="en-GB"/>
        </w:rPr>
        <w:t xml:space="preserve"> Hence, policies that shift the electricity generation fuel mix toward nonfossil fuels sources</w:t>
      </w:r>
      <w:r w:rsidR="003C0DF0">
        <w:rPr>
          <w:rFonts w:ascii="Times New Roman" w:hAnsi="Times New Roman" w:cs="Times New Roman"/>
          <w:sz w:val="20"/>
          <w:szCs w:val="20"/>
          <w:lang w:val="en-GB"/>
        </w:rPr>
        <w:t xml:space="preserve"> are an effective way to lower carbon emissions from electricity in the long-run.</w:t>
      </w:r>
      <w:r w:rsidR="003B227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7F72CC" w:rsidRDefault="007F72CC" w:rsidP="00DB65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095864" w:rsidRPr="00095864" w:rsidRDefault="00095864" w:rsidP="0009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Table 1.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680F">
        <w:rPr>
          <w:rFonts w:ascii="Times New Roman" w:hAnsi="Times New Roman" w:cs="Times New Roman"/>
          <w:sz w:val="20"/>
          <w:szCs w:val="20"/>
        </w:rPr>
        <w:t xml:space="preserve">Nonfossil fuels </w:t>
      </w:r>
      <w:r w:rsidR="00212612">
        <w:rPr>
          <w:rFonts w:ascii="Times New Roman" w:hAnsi="Times New Roman" w:cs="Times New Roman"/>
          <w:sz w:val="20"/>
          <w:szCs w:val="20"/>
        </w:rPr>
        <w:t>in</w:t>
      </w:r>
      <w:r w:rsidR="007F680F">
        <w:rPr>
          <w:rFonts w:ascii="Times New Roman" w:hAnsi="Times New Roman" w:cs="Times New Roman"/>
          <w:sz w:val="20"/>
          <w:szCs w:val="20"/>
        </w:rPr>
        <w:t xml:space="preserve"> electricity production </w:t>
      </w:r>
      <w:r w:rsidR="007F72CC">
        <w:rPr>
          <w:rFonts w:ascii="Times New Roman" w:hAnsi="Times New Roman" w:cs="Times New Roman"/>
          <w:sz w:val="20"/>
          <w:szCs w:val="20"/>
        </w:rPr>
        <w:t xml:space="preserve">reduction of </w:t>
      </w:r>
      <w:r w:rsidR="007F680F">
        <w:rPr>
          <w:rFonts w:ascii="Times New Roman" w:hAnsi="Times New Roman" w:cs="Times New Roman"/>
          <w:sz w:val="20"/>
          <w:szCs w:val="20"/>
        </w:rPr>
        <w:t>carbon emissions from electricity production.</w:t>
      </w:r>
      <w:r w:rsidR="002126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12612">
        <w:rPr>
          <w:rFonts w:ascii="Times New Roman" w:hAnsi="Times New Roman" w:cs="Times New Roman"/>
          <w:sz w:val="20"/>
          <w:szCs w:val="20"/>
        </w:rPr>
        <w:t>Long-run elasticities.</w:t>
      </w:r>
      <w:proofErr w:type="gramEnd"/>
    </w:p>
    <w:tbl>
      <w:tblPr>
        <w:tblStyle w:val="LightShading"/>
        <w:tblW w:w="0" w:type="auto"/>
        <w:tblLook w:val="04A0"/>
      </w:tblPr>
      <w:tblGrid>
        <w:gridCol w:w="2628"/>
        <w:gridCol w:w="1653"/>
        <w:gridCol w:w="1654"/>
        <w:gridCol w:w="1653"/>
        <w:gridCol w:w="1654"/>
      </w:tblGrid>
      <w:tr w:rsidR="00212612" w:rsidTr="00212612">
        <w:trPr>
          <w:cnfStyle w:val="100000000000"/>
        </w:trPr>
        <w:tc>
          <w:tcPr>
            <w:cnfStyle w:val="001000000000"/>
            <w:tcW w:w="2628" w:type="dxa"/>
          </w:tcPr>
          <w:p w:rsidR="00212612" w:rsidRDefault="00212612" w:rsidP="00DB658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2612" w:rsidRDefault="00212612" w:rsidP="0021261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CMG</w:t>
            </w:r>
          </w:p>
        </w:tc>
        <w:tc>
          <w:tcPr>
            <w:tcW w:w="1654" w:type="dxa"/>
          </w:tcPr>
          <w:p w:rsidR="00212612" w:rsidRDefault="00212612" w:rsidP="0021261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AMG</w:t>
            </w:r>
          </w:p>
        </w:tc>
        <w:tc>
          <w:tcPr>
            <w:tcW w:w="1653" w:type="dxa"/>
          </w:tcPr>
          <w:p w:rsidR="00212612" w:rsidRDefault="00212612" w:rsidP="0021261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CMG</w:t>
            </w:r>
          </w:p>
        </w:tc>
        <w:tc>
          <w:tcPr>
            <w:tcW w:w="1654" w:type="dxa"/>
          </w:tcPr>
          <w:p w:rsidR="00212612" w:rsidRDefault="00212612" w:rsidP="0021261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AMG</w:t>
            </w:r>
          </w:p>
        </w:tc>
      </w:tr>
      <w:tr w:rsidR="00212612" w:rsidTr="00212612">
        <w:trPr>
          <w:cnfStyle w:val="000000100000"/>
        </w:trPr>
        <w:tc>
          <w:tcPr>
            <w:cnfStyle w:val="001000000000"/>
            <w:tcW w:w="2628" w:type="dxa"/>
          </w:tcPr>
          <w:p w:rsidR="00212612" w:rsidRDefault="00212612" w:rsidP="00DB658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Log GDP p.c.</w:t>
            </w:r>
          </w:p>
        </w:tc>
        <w:tc>
          <w:tcPr>
            <w:tcW w:w="1653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</w:rPr>
              <w:t>1.01***</w:t>
            </w: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</w:rPr>
              <w:t>0.64***</w:t>
            </w:r>
          </w:p>
        </w:tc>
        <w:tc>
          <w:tcPr>
            <w:tcW w:w="1653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</w:rPr>
              <w:t>0.71***</w:t>
            </w: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</w:rPr>
              <w:t>0.42***</w:t>
            </w:r>
          </w:p>
        </w:tc>
      </w:tr>
      <w:tr w:rsidR="00212612" w:rsidTr="00212612">
        <w:tc>
          <w:tcPr>
            <w:cnfStyle w:val="001000000000"/>
            <w:tcW w:w="2628" w:type="dxa"/>
          </w:tcPr>
          <w:p w:rsidR="00212612" w:rsidRDefault="00212612" w:rsidP="00DB658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53" w:type="dxa"/>
          </w:tcPr>
          <w:p w:rsidR="00212612" w:rsidRPr="00212612" w:rsidRDefault="00212612" w:rsidP="00B10D72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</w:rPr>
              <w:t>[0.75 1.27]</w:t>
            </w:r>
          </w:p>
        </w:tc>
        <w:tc>
          <w:tcPr>
            <w:tcW w:w="1654" w:type="dxa"/>
          </w:tcPr>
          <w:p w:rsidR="00212612" w:rsidRPr="00212612" w:rsidRDefault="00212612" w:rsidP="00B10D72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</w:rPr>
              <w:t>[0.37 0.91]</w:t>
            </w:r>
          </w:p>
        </w:tc>
        <w:tc>
          <w:tcPr>
            <w:tcW w:w="1653" w:type="dxa"/>
          </w:tcPr>
          <w:p w:rsidR="00212612" w:rsidRDefault="00212612" w:rsidP="0021261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</w:rPr>
              <w:t>[0.47 0.95]</w:t>
            </w: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</w:rPr>
              <w:t>[0.23 0.60]</w:t>
            </w:r>
          </w:p>
        </w:tc>
      </w:tr>
      <w:tr w:rsidR="00212612" w:rsidRPr="00212612" w:rsidTr="00212612">
        <w:trPr>
          <w:cnfStyle w:val="000000100000"/>
        </w:trPr>
        <w:tc>
          <w:tcPr>
            <w:cnfStyle w:val="001000000000"/>
            <w:tcW w:w="2628" w:type="dxa"/>
          </w:tcPr>
          <w:p w:rsidR="00212612" w:rsidRPr="00212612" w:rsidRDefault="00212612" w:rsidP="00DB658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</w:pPr>
            <w:r w:rsidRPr="00212612"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  <w:t>Log non-</w:t>
            </w:r>
            <w:proofErr w:type="spellStart"/>
            <w:r w:rsidRPr="00212612"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  <w:t>fossil</w:t>
            </w:r>
            <w:proofErr w:type="spellEnd"/>
            <w:r w:rsidRPr="00212612"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  <w:t xml:space="preserve"> fuels p.c.</w:t>
            </w:r>
          </w:p>
        </w:tc>
        <w:tc>
          <w:tcPr>
            <w:tcW w:w="1653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-0.34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***</w:t>
            </w: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-0.33***</w:t>
            </w:r>
          </w:p>
        </w:tc>
        <w:tc>
          <w:tcPr>
            <w:tcW w:w="1653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</w:p>
        </w:tc>
      </w:tr>
      <w:tr w:rsidR="00212612" w:rsidRPr="00212612" w:rsidTr="00212612">
        <w:tc>
          <w:tcPr>
            <w:cnfStyle w:val="001000000000"/>
            <w:tcW w:w="2628" w:type="dxa"/>
          </w:tcPr>
          <w:p w:rsidR="00212612" w:rsidRPr="00212612" w:rsidRDefault="00212612" w:rsidP="00DB658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</w:pPr>
          </w:p>
        </w:tc>
        <w:tc>
          <w:tcPr>
            <w:tcW w:w="1653" w:type="dxa"/>
          </w:tcPr>
          <w:p w:rsidR="00212612" w:rsidRPr="00212612" w:rsidRDefault="00212612" w:rsidP="0021261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[-0.45 -0.23]</w:t>
            </w: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[-0.47 -0.19]</w:t>
            </w:r>
          </w:p>
        </w:tc>
        <w:tc>
          <w:tcPr>
            <w:tcW w:w="1653" w:type="dxa"/>
          </w:tcPr>
          <w:p w:rsidR="00212612" w:rsidRPr="00212612" w:rsidRDefault="00212612" w:rsidP="0021261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</w:p>
        </w:tc>
      </w:tr>
      <w:tr w:rsidR="00212612" w:rsidRPr="00212612" w:rsidTr="00212612">
        <w:trPr>
          <w:cnfStyle w:val="000000100000"/>
        </w:trPr>
        <w:tc>
          <w:tcPr>
            <w:cnfStyle w:val="001000000000"/>
            <w:tcW w:w="2628" w:type="dxa"/>
          </w:tcPr>
          <w:p w:rsidR="00212612" w:rsidRPr="00212612" w:rsidRDefault="00212612" w:rsidP="00DB658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  <w:t xml:space="preserve">Log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  <w:t>share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  <w:t xml:space="preserve"> non-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  <w:t>fossil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  <w:t xml:space="preserve"> fuels</w:t>
            </w:r>
          </w:p>
        </w:tc>
        <w:tc>
          <w:tcPr>
            <w:tcW w:w="1653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</w:p>
        </w:tc>
        <w:tc>
          <w:tcPr>
            <w:tcW w:w="1653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-0.73***</w:t>
            </w: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-0.76***</w:t>
            </w:r>
          </w:p>
        </w:tc>
      </w:tr>
      <w:tr w:rsidR="00212612" w:rsidRPr="00212612" w:rsidTr="00212612">
        <w:tc>
          <w:tcPr>
            <w:cnfStyle w:val="001000000000"/>
            <w:tcW w:w="2628" w:type="dxa"/>
          </w:tcPr>
          <w:p w:rsidR="00212612" w:rsidRPr="00212612" w:rsidRDefault="00212612" w:rsidP="00DB6582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fr-CM"/>
              </w:rPr>
            </w:pPr>
          </w:p>
        </w:tc>
        <w:tc>
          <w:tcPr>
            <w:tcW w:w="1653" w:type="dxa"/>
          </w:tcPr>
          <w:p w:rsidR="00212612" w:rsidRPr="00212612" w:rsidRDefault="00212612" w:rsidP="0021261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</w:p>
        </w:tc>
        <w:tc>
          <w:tcPr>
            <w:tcW w:w="1653" w:type="dxa"/>
          </w:tcPr>
          <w:p w:rsidR="00212612" w:rsidRPr="00212612" w:rsidRDefault="00212612" w:rsidP="0021261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[-0.93 -0.53]</w:t>
            </w:r>
          </w:p>
        </w:tc>
        <w:tc>
          <w:tcPr>
            <w:tcW w:w="1654" w:type="dxa"/>
          </w:tcPr>
          <w:p w:rsidR="00212612" w:rsidRPr="00212612" w:rsidRDefault="00212612" w:rsidP="0021261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fr-CM"/>
              </w:rPr>
            </w:pPr>
            <w:r w:rsidRPr="0021261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[-0.98 -0.55]</w:t>
            </w:r>
          </w:p>
        </w:tc>
      </w:tr>
    </w:tbl>
    <w:p w:rsidR="00D55143" w:rsidRDefault="00D55143" w:rsidP="00DB6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</w:t>
      </w:r>
      <w:r w:rsidR="00095864">
        <w:rPr>
          <w:rFonts w:ascii="Times New Roman" w:hAnsi="Times New Roman" w:cs="Times New Roman"/>
          <w:b/>
          <w:sz w:val="20"/>
          <w:szCs w:val="20"/>
        </w:rPr>
        <w:t>s</w:t>
      </w:r>
      <w:r w:rsidRPr="00D55143">
        <w:rPr>
          <w:rFonts w:ascii="Times New Roman" w:hAnsi="Times New Roman" w:cs="Times New Roman"/>
          <w:sz w:val="20"/>
          <w:szCs w:val="20"/>
        </w:rPr>
        <w:t>: *** indicates statistical significance at the 0.001 level.</w:t>
      </w:r>
      <w:r w:rsidR="00095864" w:rsidRPr="000958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95864">
        <w:rPr>
          <w:rFonts w:ascii="Times New Roman" w:hAnsi="Times New Roman" w:cs="Times New Roman"/>
          <w:sz w:val="20"/>
          <w:szCs w:val="20"/>
        </w:rPr>
        <w:t>95% confidence intervals shown in brackets.</w:t>
      </w:r>
      <w:proofErr w:type="gramEnd"/>
    </w:p>
    <w:p w:rsidR="007F680F" w:rsidRDefault="007F680F" w:rsidP="00DB65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FD6F81" w:rsidRPr="00DB6582" w:rsidRDefault="00FD6F81" w:rsidP="00DB65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We also separate the regression results according to OECD/non-OECD status, and consider the impact of natural gas and coal prices for a sub-set of OECD only countries.</w:t>
      </w:r>
    </w:p>
    <w:p w:rsidR="00087C04" w:rsidRPr="00D767DA" w:rsidRDefault="00087C04" w:rsidP="00087C04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B02BBF" w:rsidRPr="00B02BBF" w:rsidRDefault="00B02BBF" w:rsidP="00B02B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02BBF">
        <w:rPr>
          <w:rFonts w:ascii="Times New Roman" w:hAnsi="Times New Roman" w:cs="Times New Roman"/>
          <w:sz w:val="20"/>
          <w:szCs w:val="20"/>
          <w:lang w:val="en-US"/>
        </w:rPr>
        <w:t>Eberhardt</w:t>
      </w:r>
      <w:proofErr w:type="spellEnd"/>
      <w:r w:rsidRPr="00B02BBF">
        <w:rPr>
          <w:rFonts w:ascii="Times New Roman" w:hAnsi="Times New Roman" w:cs="Times New Roman"/>
          <w:sz w:val="20"/>
          <w:szCs w:val="20"/>
          <w:lang w:val="en-US"/>
        </w:rPr>
        <w:t>, M. and Teal, F. (2010) Productivity Analysis in Global Manufacturing Production, Economics Series Working Papers 515, University of Oxford, Department of Economics.</w:t>
      </w:r>
    </w:p>
    <w:p w:rsidR="00B02BBF" w:rsidRDefault="00B02BBF" w:rsidP="00B02B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02BBF" w:rsidRPr="00B02BBF" w:rsidRDefault="00B02BBF" w:rsidP="00B02B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B02BBF">
        <w:rPr>
          <w:rFonts w:ascii="Times New Roman" w:hAnsi="Times New Roman" w:cs="Times New Roman"/>
          <w:sz w:val="20"/>
          <w:szCs w:val="20"/>
          <w:lang w:val="en-US"/>
        </w:rPr>
        <w:t>Pesaran</w:t>
      </w:r>
      <w:proofErr w:type="spellEnd"/>
      <w:r w:rsidRPr="00B02BBF">
        <w:rPr>
          <w:rFonts w:ascii="Times New Roman" w:hAnsi="Times New Roman" w:cs="Times New Roman"/>
          <w:sz w:val="20"/>
          <w:szCs w:val="20"/>
          <w:lang w:val="en-US"/>
        </w:rPr>
        <w:t>, M. (2006) 'Estimation and inference in large heterogeneous panels with a multifactor error structure.'</w:t>
      </w:r>
      <w:proofErr w:type="gramEnd"/>
      <w:r w:rsidRPr="00B02B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2BBF">
        <w:rPr>
          <w:rFonts w:ascii="Times New Roman" w:hAnsi="Times New Roman" w:cs="Times New Roman"/>
          <w:sz w:val="20"/>
          <w:szCs w:val="20"/>
          <w:lang w:val="en-US"/>
        </w:rPr>
        <w:t>Econometrica</w:t>
      </w:r>
      <w:proofErr w:type="spellEnd"/>
      <w:r w:rsidRPr="00B02BBF">
        <w:rPr>
          <w:rFonts w:ascii="Times New Roman" w:hAnsi="Times New Roman" w:cs="Times New Roman"/>
          <w:sz w:val="20"/>
          <w:szCs w:val="20"/>
          <w:lang w:val="en-US"/>
        </w:rPr>
        <w:t>, Vol. 74(4): pp.967-1012.</w:t>
      </w:r>
    </w:p>
    <w:p w:rsidR="00B02BBF" w:rsidRDefault="00B02BBF" w:rsidP="00087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C04" w:rsidRPr="00087C04" w:rsidRDefault="00087C04" w:rsidP="00087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87C04" w:rsidRPr="00087C04" w:rsidSect="00E77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71" w:rsidRDefault="00E25171" w:rsidP="00FC483E">
      <w:pPr>
        <w:spacing w:after="0" w:line="240" w:lineRule="auto"/>
      </w:pPr>
      <w:r>
        <w:separator/>
      </w:r>
    </w:p>
  </w:endnote>
  <w:endnote w:type="continuationSeparator" w:id="0">
    <w:p w:rsidR="00E25171" w:rsidRDefault="00E25171" w:rsidP="00FC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71" w:rsidRDefault="00E25171" w:rsidP="00FC483E">
      <w:pPr>
        <w:spacing w:after="0" w:line="240" w:lineRule="auto"/>
      </w:pPr>
      <w:r>
        <w:separator/>
      </w:r>
    </w:p>
  </w:footnote>
  <w:footnote w:type="continuationSeparator" w:id="0">
    <w:p w:rsidR="00E25171" w:rsidRDefault="00E25171" w:rsidP="00FC4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C04"/>
    <w:rsid w:val="0004267B"/>
    <w:rsid w:val="00087C04"/>
    <w:rsid w:val="00095864"/>
    <w:rsid w:val="0009674E"/>
    <w:rsid w:val="00195B81"/>
    <w:rsid w:val="00212612"/>
    <w:rsid w:val="003B2275"/>
    <w:rsid w:val="003C0DF0"/>
    <w:rsid w:val="00412375"/>
    <w:rsid w:val="005A118F"/>
    <w:rsid w:val="00795F27"/>
    <w:rsid w:val="007F680F"/>
    <w:rsid w:val="007F72CC"/>
    <w:rsid w:val="00840576"/>
    <w:rsid w:val="008E013D"/>
    <w:rsid w:val="009F1E23"/>
    <w:rsid w:val="00A2751B"/>
    <w:rsid w:val="00AB6DC1"/>
    <w:rsid w:val="00B02BBF"/>
    <w:rsid w:val="00B97D63"/>
    <w:rsid w:val="00D07BC4"/>
    <w:rsid w:val="00D27004"/>
    <w:rsid w:val="00D55143"/>
    <w:rsid w:val="00DB6582"/>
    <w:rsid w:val="00DF7B7B"/>
    <w:rsid w:val="00E25171"/>
    <w:rsid w:val="00E772F5"/>
    <w:rsid w:val="00F3285A"/>
    <w:rsid w:val="00FC483E"/>
    <w:rsid w:val="00FD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F5"/>
  </w:style>
  <w:style w:type="paragraph" w:styleId="Heading2">
    <w:name w:val="heading 2"/>
    <w:basedOn w:val="Normal"/>
    <w:next w:val="Normal"/>
    <w:link w:val="Heading2Char"/>
    <w:qFormat/>
    <w:rsid w:val="00087C0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C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87C04"/>
    <w:rPr>
      <w:rFonts w:ascii="Arial" w:eastAsia="Times New Roman" w:hAnsi="Arial" w:cs="Times New Roman"/>
      <w:b/>
      <w:i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FC483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83E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5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D551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7C0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C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87C04"/>
    <w:rPr>
      <w:rFonts w:ascii="Arial" w:eastAsia="Times New Roman" w:hAnsi="Arial" w:cs="Times New Roman"/>
      <w:b/>
      <w:i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FC483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83E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5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551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hyperlink" Target="mailto:psadorsk@schulich.yorku.ca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liddle@alum.mit.edu" TargetMode="Externa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Brantley Thomas Liddle</dc:creator>
  <cp:lastModifiedBy>Windows User</cp:lastModifiedBy>
  <cp:revision>5</cp:revision>
  <dcterms:created xsi:type="dcterms:W3CDTF">2016-07-17T21:03:00Z</dcterms:created>
  <dcterms:modified xsi:type="dcterms:W3CDTF">2016-07-18T17:35:00Z</dcterms:modified>
</cp:coreProperties>
</file>