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Pr="00762E13" w:rsidRDefault="00DC69F1" w:rsidP="00DC69F1">
      <w:pPr>
        <w:framePr w:w="10800" w:h="2142" w:hRule="exact" w:hSpace="187" w:wrap="auto" w:vAnchor="page" w:hAnchor="page" w:x="714" w:y="1085"/>
        <w:jc w:val="center"/>
        <w:rPr>
          <w:lang w:val="de-AT"/>
        </w:rPr>
      </w:pPr>
      <w:r w:rsidRPr="00762E13">
        <w:rPr>
          <w:lang w:val="de-AT"/>
        </w:rPr>
        <w:t xml:space="preserve">       </w:t>
      </w:r>
      <w:r w:rsidRPr="00762E13">
        <w:rPr>
          <w:lang w:val="de-AT"/>
        </w:rPr>
        <w:tab/>
      </w:r>
      <w:r w:rsidRPr="00762E13">
        <w:rPr>
          <w:lang w:val="de-AT"/>
        </w:rPr>
        <w:tab/>
      </w:r>
      <w:r w:rsidRPr="00762E13">
        <w:rPr>
          <w:lang w:val="de-AT"/>
        </w:rPr>
        <w:tab/>
      </w:r>
      <w:r w:rsidRPr="00762E13">
        <w:rPr>
          <w:lang w:val="de-AT"/>
        </w:rPr>
        <w:tab/>
      </w:r>
      <w:r w:rsidRPr="00762E13">
        <w:rPr>
          <w:lang w:val="de-AT"/>
        </w:rPr>
        <w:tab/>
      </w:r>
      <w:r w:rsidRPr="00762E13">
        <w:rPr>
          <w:lang w:val="de-AT"/>
        </w:rPr>
        <w:tab/>
      </w:r>
      <w:r w:rsidRPr="00762E13">
        <w:rPr>
          <w:lang w:val="de-AT"/>
        </w:rPr>
        <w:tab/>
      </w:r>
      <w:r w:rsidRPr="00762E13">
        <w:rPr>
          <w:lang w:val="de-AT"/>
        </w:rPr>
        <w:tab/>
      </w:r>
      <w:r w:rsidRPr="00762E13">
        <w:rPr>
          <w:lang w:val="de-AT"/>
        </w:rPr>
        <w:tab/>
        <w:t xml:space="preserve">                                                 </w:t>
      </w:r>
      <w:r w:rsidRPr="00762E13">
        <w:rPr>
          <w:lang w:val="de-AT"/>
        </w:rPr>
        <w:tab/>
      </w:r>
    </w:p>
    <w:p w:rsidR="00F96521" w:rsidRDefault="00762E13" w:rsidP="00DC69F1">
      <w:pPr>
        <w:pStyle w:val="Textkrper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 w:rsidRPr="00762E13">
        <w:rPr>
          <w:b/>
          <w:sz w:val="28"/>
          <w:szCs w:val="28"/>
        </w:rPr>
        <w:t>TECHNO-ECONOMIC EFFECTS OF</w:t>
      </w:r>
      <w:r w:rsidR="00E20DDD">
        <w:rPr>
          <w:b/>
          <w:sz w:val="28"/>
          <w:szCs w:val="28"/>
        </w:rPr>
        <w:t xml:space="preserve"> DECENTRALISED</w:t>
      </w:r>
      <w:r w:rsidRPr="00762E13">
        <w:rPr>
          <w:b/>
          <w:sz w:val="28"/>
          <w:szCs w:val="28"/>
        </w:rPr>
        <w:t xml:space="preserve"> BATTERY SUPPORTED PHOTOVOLTAIC SYSTEMS CONSIDERING</w:t>
      </w:r>
      <w:r>
        <w:rPr>
          <w:b/>
          <w:sz w:val="28"/>
          <w:szCs w:val="28"/>
        </w:rPr>
        <w:t xml:space="preserve"> </w:t>
      </w:r>
      <w:r w:rsidR="00F83353">
        <w:rPr>
          <w:b/>
          <w:sz w:val="28"/>
          <w:szCs w:val="28"/>
        </w:rPr>
        <w:t>DIFFERENT TYPES OF TARIFFS</w:t>
      </w:r>
    </w:p>
    <w:p w:rsidR="00F96521" w:rsidRPr="00F96521" w:rsidRDefault="00F96521" w:rsidP="00F96521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  <w:lang w:val="de-AT"/>
        </w:rPr>
      </w:pPr>
    </w:p>
    <w:p w:rsidR="00A31385" w:rsidRDefault="00A31385" w:rsidP="00A31385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  <w:lang w:val="de-AT"/>
        </w:rPr>
      </w:pPr>
      <w:r>
        <w:rPr>
          <w:sz w:val="20"/>
          <w:lang w:val="de-AT"/>
        </w:rPr>
        <w:t xml:space="preserve">Albert </w:t>
      </w:r>
      <w:proofErr w:type="spellStart"/>
      <w:r>
        <w:rPr>
          <w:sz w:val="20"/>
          <w:lang w:val="de-AT"/>
        </w:rPr>
        <w:t>Hiesl</w:t>
      </w:r>
      <w:proofErr w:type="spellEnd"/>
      <w:r>
        <w:rPr>
          <w:sz w:val="20"/>
          <w:lang w:val="de-AT"/>
        </w:rPr>
        <w:t>, TU Wien, +4315880</w:t>
      </w:r>
      <w:r>
        <w:rPr>
          <w:sz w:val="20"/>
          <w:lang w:val="de-AT"/>
        </w:rPr>
        <w:t>1370371, hiesl@eeg.tuwien.ac.at</w:t>
      </w:r>
    </w:p>
    <w:p w:rsidR="00A31385" w:rsidRDefault="00A31385" w:rsidP="00A31385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  <w:lang w:val="de-AT"/>
        </w:rPr>
      </w:pPr>
      <w:r>
        <w:rPr>
          <w:sz w:val="20"/>
          <w:lang w:val="de-AT"/>
        </w:rPr>
        <w:t xml:space="preserve">Michael </w:t>
      </w:r>
      <w:proofErr w:type="spellStart"/>
      <w:r>
        <w:rPr>
          <w:sz w:val="20"/>
          <w:lang w:val="de-AT"/>
        </w:rPr>
        <w:t>Hartner</w:t>
      </w:r>
      <w:proofErr w:type="spellEnd"/>
      <w:r>
        <w:rPr>
          <w:sz w:val="20"/>
          <w:lang w:val="de-AT"/>
        </w:rPr>
        <w:t xml:space="preserve">, TU Wien, +43158801370379, hartner@eeg.tuwien.ac.at </w:t>
      </w:r>
    </w:p>
    <w:p w:rsidR="00A31385" w:rsidRDefault="00A31385" w:rsidP="00A31385">
      <w:pPr>
        <w:pStyle w:val="Textkrper"/>
        <w:framePr w:w="10800" w:h="2142" w:hRule="exact" w:hSpace="187" w:wrap="auto" w:vAnchor="page" w:hAnchor="page" w:x="714" w:y="1085"/>
        <w:jc w:val="right"/>
        <w:rPr>
          <w:lang w:val="de-AT"/>
        </w:rPr>
      </w:pPr>
      <w:r>
        <w:rPr>
          <w:sz w:val="20"/>
          <w:lang w:val="de-AT"/>
        </w:rPr>
        <w:t>Reinhard Haas, TU Wien, +43158801370370352, haas@eeg.tuwien.ac.at</w:t>
      </w:r>
      <w:r>
        <w:rPr>
          <w:lang w:val="de-AT"/>
        </w:rPr>
        <w:t xml:space="preserve"> </w:t>
      </w:r>
    </w:p>
    <w:p w:rsidR="00A31385" w:rsidRPr="00D86D99" w:rsidRDefault="00A31385" w:rsidP="00A31385">
      <w:pPr>
        <w:pStyle w:val="Textkrper"/>
        <w:framePr w:w="10800" w:h="2142" w:hRule="exact" w:hSpace="187" w:wrap="auto" w:vAnchor="page" w:hAnchor="page" w:x="714" w:y="1085"/>
        <w:jc w:val="center"/>
        <w:rPr>
          <w:sz w:val="20"/>
          <w:lang w:val="de-AT"/>
        </w:rPr>
      </w:pPr>
    </w:p>
    <w:p w:rsidR="00DC69F1" w:rsidRPr="00476853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991550" w:rsidRDefault="000F1CC5" w:rsidP="000F1CC5">
      <w:pPr>
        <w:jc w:val="both"/>
        <w:rPr>
          <w:lang w:val="en-US"/>
        </w:rPr>
      </w:pPr>
      <w:r>
        <w:rPr>
          <w:lang w:val="en-US"/>
        </w:rPr>
        <w:t xml:space="preserve">The social and economic acceptance of photovoltaics has increased significantly in recent years. Decreasing costs for photovoltaic systems let it become a </w:t>
      </w:r>
      <w:r>
        <w:rPr>
          <w:lang w:val="en-US"/>
        </w:rPr>
        <w:t>competitive energy s</w:t>
      </w:r>
      <w:r w:rsidRPr="00E41AF1">
        <w:rPr>
          <w:lang w:val="en-US"/>
        </w:rPr>
        <w:t>ource for decentralized</w:t>
      </w:r>
      <w:r>
        <w:rPr>
          <w:lang w:val="en-US"/>
        </w:rPr>
        <w:t xml:space="preserve"> use. </w:t>
      </w:r>
      <w:r w:rsidR="00F9300B">
        <w:rPr>
          <w:lang w:val="en-US"/>
        </w:rPr>
        <w:t xml:space="preserve">In the last years, one can observe increasing self-consumption of </w:t>
      </w:r>
      <w:r w:rsidR="00991550">
        <w:rPr>
          <w:lang w:val="en-US"/>
        </w:rPr>
        <w:t xml:space="preserve">photovoltaic </w:t>
      </w:r>
      <w:r w:rsidR="007C4EF4">
        <w:rPr>
          <w:lang w:val="en-US"/>
        </w:rPr>
        <w:t>electricity</w:t>
      </w:r>
      <w:r w:rsidR="00991550">
        <w:rPr>
          <w:lang w:val="en-US"/>
        </w:rPr>
        <w:t xml:space="preserve">. </w:t>
      </w:r>
      <w:r w:rsidR="00F9300B">
        <w:rPr>
          <w:lang w:val="en-US"/>
        </w:rPr>
        <w:t xml:space="preserve">Responsible </w:t>
      </w:r>
      <w:r w:rsidR="00991550">
        <w:rPr>
          <w:lang w:val="en-US"/>
        </w:rPr>
        <w:t>for this trend is</w:t>
      </w:r>
      <w:r w:rsidR="00F9300B">
        <w:rPr>
          <w:lang w:val="en-US"/>
        </w:rPr>
        <w:t xml:space="preserve"> </w:t>
      </w:r>
      <w:r w:rsidR="00991550">
        <w:rPr>
          <w:lang w:val="en-US"/>
        </w:rPr>
        <w:t>the</w:t>
      </w:r>
      <w:r w:rsidR="00F9300B">
        <w:rPr>
          <w:lang w:val="en-US"/>
        </w:rPr>
        <w:t xml:space="preserve"> increasing spread of retail electricity price</w:t>
      </w:r>
      <w:r w:rsidR="00991550">
        <w:rPr>
          <w:lang w:val="en-US"/>
        </w:rPr>
        <w:t>s</w:t>
      </w:r>
      <w:r w:rsidR="00F9300B">
        <w:rPr>
          <w:lang w:val="en-US"/>
        </w:rPr>
        <w:t xml:space="preserve"> and </w:t>
      </w:r>
      <w:r>
        <w:rPr>
          <w:lang w:val="en-US"/>
        </w:rPr>
        <w:t>feed-in</w:t>
      </w:r>
      <w:r w:rsidR="00F9300B">
        <w:rPr>
          <w:lang w:val="en-US"/>
        </w:rPr>
        <w:t xml:space="preserve"> remuneration</w:t>
      </w:r>
      <w:r w:rsidR="00991550">
        <w:rPr>
          <w:lang w:val="en-US"/>
        </w:rPr>
        <w:t xml:space="preserve">. Therefore, </w:t>
      </w:r>
      <w:r>
        <w:rPr>
          <w:lang w:val="en-US"/>
        </w:rPr>
        <w:t>the profitability</w:t>
      </w:r>
      <w:r w:rsidR="00991550">
        <w:rPr>
          <w:lang w:val="en-US"/>
        </w:rPr>
        <w:t xml:space="preserve"> of photovoltaic systems mainly depends on </w:t>
      </w:r>
      <w:proofErr w:type="spellStart"/>
      <w:r w:rsidR="00991550">
        <w:rPr>
          <w:lang w:val="en-US"/>
        </w:rPr>
        <w:t>self consumed</w:t>
      </w:r>
      <w:proofErr w:type="spellEnd"/>
      <w:r w:rsidR="00991550">
        <w:rPr>
          <w:lang w:val="en-US"/>
        </w:rPr>
        <w:t xml:space="preserve"> PV-electricity. </w:t>
      </w:r>
      <w:r w:rsidR="005203D7">
        <w:rPr>
          <w:lang w:val="en-US"/>
        </w:rPr>
        <w:t>Besides this fact</w:t>
      </w:r>
      <w:r w:rsidR="00991550">
        <w:rPr>
          <w:lang w:val="en-US"/>
        </w:rPr>
        <w:t xml:space="preserve"> </w:t>
      </w:r>
      <w:r w:rsidR="002D0C6A">
        <w:rPr>
          <w:lang w:val="en-US"/>
        </w:rPr>
        <w:t xml:space="preserve">another trend </w:t>
      </w:r>
      <w:proofErr w:type="spellStart"/>
      <w:r w:rsidR="002D0C6A">
        <w:rPr>
          <w:lang w:val="en-US"/>
        </w:rPr>
        <w:t>arised</w:t>
      </w:r>
      <w:proofErr w:type="spellEnd"/>
      <w:r w:rsidR="00991550">
        <w:rPr>
          <w:lang w:val="en-US"/>
        </w:rPr>
        <w:t>: Stationary battery systems</w:t>
      </w:r>
      <w:r w:rsidR="008B01FB">
        <w:rPr>
          <w:lang w:val="en-US"/>
        </w:rPr>
        <w:t>.</w:t>
      </w:r>
      <w:r w:rsidR="00000170">
        <w:rPr>
          <w:lang w:val="en-US"/>
        </w:rPr>
        <w:t xml:space="preserve"> </w:t>
      </w:r>
      <w:r w:rsidR="00991550">
        <w:rPr>
          <w:lang w:val="en-US"/>
        </w:rPr>
        <w:t xml:space="preserve">Subsidies and technological learning led to decreasing costs and to affordable </w:t>
      </w:r>
      <w:r w:rsidR="008B01FB">
        <w:rPr>
          <w:lang w:val="en-US"/>
        </w:rPr>
        <w:t>syste</w:t>
      </w:r>
      <w:r w:rsidR="00000170">
        <w:rPr>
          <w:lang w:val="en-US"/>
        </w:rPr>
        <w:t>ms</w:t>
      </w:r>
      <w:r w:rsidR="008B01FB">
        <w:rPr>
          <w:lang w:val="en-US"/>
        </w:rPr>
        <w:t xml:space="preserve"> which can increase </w:t>
      </w:r>
      <w:proofErr w:type="spellStart"/>
      <w:r w:rsidR="008B01FB">
        <w:rPr>
          <w:lang w:val="en-US"/>
        </w:rPr>
        <w:t>self consumption</w:t>
      </w:r>
      <w:proofErr w:type="spellEnd"/>
      <w:r w:rsidR="00FD37C8">
        <w:rPr>
          <w:lang w:val="en-US"/>
        </w:rPr>
        <w:t xml:space="preserve"> and </w:t>
      </w:r>
      <w:proofErr w:type="spellStart"/>
      <w:r w:rsidR="00FD37C8">
        <w:rPr>
          <w:lang w:val="en-US"/>
        </w:rPr>
        <w:t>self sufficiency</w:t>
      </w:r>
      <w:proofErr w:type="spellEnd"/>
      <w:r w:rsidR="00FD37C8">
        <w:rPr>
          <w:lang w:val="en-US"/>
        </w:rPr>
        <w:t xml:space="preserve"> </w:t>
      </w:r>
      <w:r w:rsidR="008B01FB">
        <w:rPr>
          <w:lang w:val="en-US"/>
        </w:rPr>
        <w:t>significantly</w:t>
      </w:r>
      <w:r w:rsidR="00991550">
        <w:rPr>
          <w:lang w:val="en-US"/>
        </w:rPr>
        <w:t>.</w:t>
      </w:r>
    </w:p>
    <w:p w:rsidR="000F1CC5" w:rsidRPr="00E541B0" w:rsidRDefault="00000170" w:rsidP="00E20DDD">
      <w:pPr>
        <w:jc w:val="both"/>
        <w:rPr>
          <w:lang w:val="en-US"/>
        </w:rPr>
      </w:pPr>
      <w:r>
        <w:rPr>
          <w:lang w:val="en-US"/>
        </w:rPr>
        <w:t xml:space="preserve">This paper focuses on the techno-economic impact of battery supported photovoltaic systems </w:t>
      </w:r>
      <w:r w:rsidR="008B01FB">
        <w:rPr>
          <w:lang w:val="en-US"/>
        </w:rPr>
        <w:t xml:space="preserve">from </w:t>
      </w:r>
      <w:proofErr w:type="gramStart"/>
      <w:r w:rsidR="008B01FB">
        <w:rPr>
          <w:lang w:val="en-US"/>
        </w:rPr>
        <w:t>an</w:t>
      </w:r>
      <w:proofErr w:type="gramEnd"/>
      <w:r w:rsidR="008B01FB">
        <w:rPr>
          <w:lang w:val="en-US"/>
        </w:rPr>
        <w:t xml:space="preserve"> </w:t>
      </w:r>
      <w:r w:rsidR="002D0C6A">
        <w:rPr>
          <w:lang w:val="en-US"/>
        </w:rPr>
        <w:t xml:space="preserve">household and </w:t>
      </w:r>
      <w:r w:rsidR="00E20DDD">
        <w:rPr>
          <w:lang w:val="en-US"/>
        </w:rPr>
        <w:t xml:space="preserve">a system </w:t>
      </w:r>
      <w:r w:rsidR="002D0C6A">
        <w:rPr>
          <w:lang w:val="en-US"/>
        </w:rPr>
        <w:t>perspective</w:t>
      </w:r>
      <w:r>
        <w:rPr>
          <w:lang w:val="en-US"/>
        </w:rPr>
        <w:t>. Therefore, we analyze the effects on the “residual” load of households</w:t>
      </w:r>
      <w:r w:rsidR="00DF5067">
        <w:rPr>
          <w:lang w:val="en-US"/>
        </w:rPr>
        <w:t xml:space="preserve"> as well a</w:t>
      </w:r>
      <w:r w:rsidR="008B01FB">
        <w:rPr>
          <w:lang w:val="en-US"/>
        </w:rPr>
        <w:t>s the economic implications due to battery storage systems</w:t>
      </w:r>
      <w:r>
        <w:rPr>
          <w:lang w:val="en-US"/>
        </w:rPr>
        <w:t xml:space="preserve">. We consider different </w:t>
      </w:r>
      <w:r w:rsidR="005203D7">
        <w:rPr>
          <w:lang w:val="en-US"/>
        </w:rPr>
        <w:t>s</w:t>
      </w:r>
      <w:r w:rsidR="000F1CC5">
        <w:rPr>
          <w:lang w:val="en-US"/>
        </w:rPr>
        <w:t xml:space="preserve">cenarios for household electricity </w:t>
      </w:r>
      <w:r w:rsidR="008B01FB">
        <w:rPr>
          <w:lang w:val="en-US"/>
        </w:rPr>
        <w:t>tariffs</w:t>
      </w:r>
      <w:r w:rsidR="000F1CC5">
        <w:rPr>
          <w:lang w:val="en-US"/>
        </w:rPr>
        <w:t xml:space="preserve"> and feed-in </w:t>
      </w:r>
      <w:r w:rsidR="008B01FB">
        <w:rPr>
          <w:lang w:val="en-US"/>
        </w:rPr>
        <w:t xml:space="preserve">remunerations </w:t>
      </w:r>
      <w:r w:rsidR="002D0C6A">
        <w:rPr>
          <w:lang w:val="en-US"/>
        </w:rPr>
        <w:t>and furthermore</w:t>
      </w:r>
      <w:r w:rsidR="008B01FB">
        <w:rPr>
          <w:lang w:val="en-US"/>
        </w:rPr>
        <w:t xml:space="preserve"> different operation scenarios of the battery storage. </w:t>
      </w: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3B2B78" w:rsidRDefault="008B01FB" w:rsidP="003B2B78">
      <w:pPr>
        <w:jc w:val="both"/>
        <w:rPr>
          <w:snapToGrid w:val="0"/>
        </w:rPr>
      </w:pPr>
      <w:r>
        <w:rPr>
          <w:snapToGrid w:val="0"/>
        </w:rPr>
        <w:t>B</w:t>
      </w:r>
      <w:r w:rsidRPr="00B0307B">
        <w:rPr>
          <w:snapToGrid w:val="0"/>
        </w:rPr>
        <w:t xml:space="preserve">ased on measured data of horizontal irradiation and ambient temperature, the PV-output is calculated </w:t>
      </w:r>
      <w:r>
        <w:rPr>
          <w:snapToGrid w:val="0"/>
        </w:rPr>
        <w:t>following the approach</w:t>
      </w:r>
      <w:r w:rsidRPr="00B0307B">
        <w:rPr>
          <w:snapToGrid w:val="0"/>
        </w:rPr>
        <w:t xml:space="preserve"> suggested by </w:t>
      </w:r>
      <w:proofErr w:type="spellStart"/>
      <w:r w:rsidRPr="00B0307B">
        <w:rPr>
          <w:snapToGrid w:val="0"/>
        </w:rPr>
        <w:t>Huld</w:t>
      </w:r>
      <w:proofErr w:type="spellEnd"/>
      <w:r w:rsidR="00D86D99">
        <w:rPr>
          <w:snapToGrid w:val="0"/>
        </w:rPr>
        <w:t xml:space="preserve"> </w:t>
      </w:r>
      <w:r w:rsidR="00D86D99">
        <w:rPr>
          <w:snapToGrid w:val="0"/>
        </w:rPr>
        <w:fldChar w:fldCharType="begin"/>
      </w:r>
      <w:r w:rsidR="00D86D99">
        <w:rPr>
          <w:snapToGrid w:val="0"/>
        </w:rPr>
        <w:instrText xml:space="preserve"> ADDIN ZOTERO_ITEM CSL_CITATION {"citationID":"2f880ogun5","properties":{"formattedCitation":"(Huld et al., 2010)","plainCitation":"(Huld et al., 2010)"},"citationItems":[{"id":137,"uris":["http://zotero.org/users/local/WrcZA2Q5/items/8IBBAN22"],"uri":["http://zotero.org/users/local/WrcZA2Q5/items/8IBBAN22"],"itemData":{"id":137,"type":"article-journal","title":"Mapping the performance of PV modules, effects of module type and data averaging","container-title":"Solar Energy","page":"324-338","volume":"84","issue":"2","source":"CrossRef","DOI":"10.1016/j.solener.2009.12.002","ISSN":"0038092X","author":[{"family":"Huld","given":"Thomas"},{"family":"Gottschalg","given":"Ralph"},{"family":"Beyer","given":"Hans Georg"},{"family":"Topič","given":"Marko"}],"issued":{"date-parts":[["2010",2]]}}}],"schema":"https://github.com/citation-style-language/schema/raw/master/csl-citation.json"} </w:instrText>
      </w:r>
      <w:r w:rsidR="00D86D99">
        <w:rPr>
          <w:snapToGrid w:val="0"/>
        </w:rPr>
        <w:fldChar w:fldCharType="separate"/>
      </w:r>
      <w:r w:rsidR="00D86D99" w:rsidRPr="00D86D99">
        <w:t>(</w:t>
      </w:r>
      <w:proofErr w:type="spellStart"/>
      <w:r w:rsidR="00D86D99" w:rsidRPr="00D86D99">
        <w:t>Huld</w:t>
      </w:r>
      <w:proofErr w:type="spellEnd"/>
      <w:r w:rsidR="00D86D99" w:rsidRPr="00D86D99">
        <w:t xml:space="preserve"> et al., 2010)</w:t>
      </w:r>
      <w:r w:rsidR="00D86D99">
        <w:rPr>
          <w:snapToGrid w:val="0"/>
        </w:rPr>
        <w:fldChar w:fldCharType="end"/>
      </w:r>
      <w:r>
        <w:rPr>
          <w:snapToGrid w:val="0"/>
        </w:rPr>
        <w:t>.</w:t>
      </w:r>
      <w:r w:rsidR="00D86D99">
        <w:rPr>
          <w:snapToGrid w:val="0"/>
        </w:rPr>
        <w:t xml:space="preserve"> </w:t>
      </w:r>
      <w:r w:rsidRPr="00B0307B">
        <w:rPr>
          <w:snapToGrid w:val="0"/>
        </w:rPr>
        <w:t xml:space="preserve">The PV-output can be calculated depending on the direction and installation angle of the PV-modules. </w:t>
      </w:r>
      <w:r>
        <w:rPr>
          <w:snapToGrid w:val="0"/>
        </w:rPr>
        <w:t xml:space="preserve">The electricity consumption of </w:t>
      </w:r>
      <w:r w:rsidRPr="00B0307B">
        <w:rPr>
          <w:snapToGrid w:val="0"/>
        </w:rPr>
        <w:t>househ</w:t>
      </w:r>
      <w:r>
        <w:rPr>
          <w:snapToGrid w:val="0"/>
        </w:rPr>
        <w:t xml:space="preserve">olds are implemented as </w:t>
      </w:r>
      <w:r w:rsidRPr="0067052C">
        <w:rPr>
          <w:snapToGrid w:val="0"/>
        </w:rPr>
        <w:t>standardized</w:t>
      </w:r>
      <w:r w:rsidRPr="00B0307B">
        <w:rPr>
          <w:snapToGrid w:val="0"/>
        </w:rPr>
        <w:t xml:space="preserve"> load profile</w:t>
      </w:r>
      <w:r>
        <w:rPr>
          <w:snapToGrid w:val="0"/>
        </w:rPr>
        <w:t>s</w:t>
      </w:r>
      <w:r w:rsidR="005203D7">
        <w:rPr>
          <w:snapToGrid w:val="0"/>
        </w:rPr>
        <w:t xml:space="preserve"> but can also be </w:t>
      </w:r>
      <w:r w:rsidR="002D0C6A">
        <w:rPr>
          <w:snapToGrid w:val="0"/>
        </w:rPr>
        <w:t>replaced</w:t>
      </w:r>
      <w:r w:rsidR="005203D7">
        <w:rPr>
          <w:snapToGrid w:val="0"/>
        </w:rPr>
        <w:t xml:space="preserve"> with measured load profiles</w:t>
      </w:r>
      <w:r w:rsidRPr="00B0307B">
        <w:rPr>
          <w:snapToGrid w:val="0"/>
        </w:rPr>
        <w:t xml:space="preserve">. </w:t>
      </w:r>
      <w:r w:rsidR="005203D7">
        <w:rPr>
          <w:snapToGrid w:val="0"/>
        </w:rPr>
        <w:t xml:space="preserve">In this </w:t>
      </w:r>
      <w:r w:rsidR="002D0C6A">
        <w:rPr>
          <w:snapToGrid w:val="0"/>
        </w:rPr>
        <w:t>study</w:t>
      </w:r>
      <w:r w:rsidR="005203D7">
        <w:rPr>
          <w:snapToGrid w:val="0"/>
        </w:rPr>
        <w:t>, t</w:t>
      </w:r>
      <w:r w:rsidRPr="00B0307B">
        <w:rPr>
          <w:snapToGrid w:val="0"/>
        </w:rPr>
        <w:t xml:space="preserve">he battery is </w:t>
      </w:r>
      <w:proofErr w:type="spellStart"/>
      <w:r w:rsidRPr="00B0307B">
        <w:rPr>
          <w:snapToGrid w:val="0"/>
        </w:rPr>
        <w:t>modeled</w:t>
      </w:r>
      <w:proofErr w:type="spellEnd"/>
      <w:r w:rsidRPr="00B0307B">
        <w:rPr>
          <w:snapToGrid w:val="0"/>
        </w:rPr>
        <w:t xml:space="preserve"> as lithium battery with a typical loading gauge. The PV-output, the load profile as well as the parameters of the battery are i</w:t>
      </w:r>
      <w:r>
        <w:rPr>
          <w:snapToGrid w:val="0"/>
        </w:rPr>
        <w:t xml:space="preserve">nput parameters for the </w:t>
      </w:r>
      <w:r w:rsidR="005203D7">
        <w:rPr>
          <w:snapToGrid w:val="0"/>
        </w:rPr>
        <w:t xml:space="preserve">linear </w:t>
      </w:r>
      <w:r>
        <w:rPr>
          <w:snapToGrid w:val="0"/>
        </w:rPr>
        <w:t>optimiz</w:t>
      </w:r>
      <w:r w:rsidRPr="00B0307B">
        <w:rPr>
          <w:snapToGrid w:val="0"/>
        </w:rPr>
        <w:t xml:space="preserve">ation model. The </w:t>
      </w:r>
      <w:r w:rsidRPr="0067052C">
        <w:rPr>
          <w:snapToGrid w:val="0"/>
        </w:rPr>
        <w:t>optimization</w:t>
      </w:r>
      <w:r w:rsidRPr="00B0307B">
        <w:rPr>
          <w:snapToGrid w:val="0"/>
        </w:rPr>
        <w:t xml:space="preserve"> model, which is based on the YALMIP toolbox and the GUROBI solver, </w:t>
      </w:r>
      <w:r w:rsidR="00DF5067">
        <w:rPr>
          <w:snapToGrid w:val="0"/>
        </w:rPr>
        <w:t>controls the operation of the battery</w:t>
      </w:r>
      <w:r>
        <w:rPr>
          <w:snapToGrid w:val="0"/>
        </w:rPr>
        <w:t>,</w:t>
      </w:r>
      <w:r w:rsidR="00DF5067">
        <w:rPr>
          <w:snapToGrid w:val="0"/>
        </w:rPr>
        <w:t xml:space="preserve"> decides</w:t>
      </w:r>
      <w:r>
        <w:rPr>
          <w:snapToGrid w:val="0"/>
        </w:rPr>
        <w:t xml:space="preserve"> when to purchase electricity</w:t>
      </w:r>
      <w:r w:rsidR="00DF5067">
        <w:rPr>
          <w:snapToGrid w:val="0"/>
        </w:rPr>
        <w:t xml:space="preserve"> from the electricity grid</w:t>
      </w:r>
      <w:r>
        <w:rPr>
          <w:snapToGrid w:val="0"/>
        </w:rPr>
        <w:t xml:space="preserve"> and when to feed in the PV-surplus</w:t>
      </w:r>
      <w:r w:rsidR="00DF5067">
        <w:rPr>
          <w:snapToGrid w:val="0"/>
        </w:rPr>
        <w:t>, depending on the (time variable) tariff and the operation mode of the battery</w:t>
      </w:r>
      <w:r w:rsidRPr="00B0307B">
        <w:rPr>
          <w:snapToGrid w:val="0"/>
        </w:rPr>
        <w:t xml:space="preserve">. The objective function of the model is to minimize the costs of electricity purchase and the calculation is done for 25 years with </w:t>
      </w:r>
      <w:r>
        <w:rPr>
          <w:snapToGrid w:val="0"/>
        </w:rPr>
        <w:t>different PV- and battery capacities</w:t>
      </w:r>
      <w:r w:rsidRPr="00B0307B">
        <w:rPr>
          <w:snapToGrid w:val="0"/>
        </w:rPr>
        <w:t xml:space="preserve">. </w:t>
      </w:r>
      <w:r w:rsidR="00DF5067">
        <w:rPr>
          <w:snapToGrid w:val="0"/>
        </w:rPr>
        <w:t xml:space="preserve">We differentiate between two operation strategies of the battery: Covering mainly peak load and covering total load. </w:t>
      </w:r>
      <w:r w:rsidR="003B2B78" w:rsidRPr="00B0307B">
        <w:rPr>
          <w:snapToGrid w:val="0"/>
        </w:rPr>
        <w:t xml:space="preserve">With assumptions on the future </w:t>
      </w:r>
      <w:proofErr w:type="spellStart"/>
      <w:r w:rsidR="003B2B78" w:rsidRPr="00B0307B">
        <w:rPr>
          <w:snapToGrid w:val="0"/>
        </w:rPr>
        <w:t>developement</w:t>
      </w:r>
      <w:proofErr w:type="spellEnd"/>
      <w:r w:rsidR="003B2B78" w:rsidRPr="00B0307B">
        <w:rPr>
          <w:snapToGrid w:val="0"/>
        </w:rPr>
        <w:t xml:space="preserve"> of household electricity prices and feed-in tariffs, </w:t>
      </w:r>
      <w:r w:rsidR="003B2B78">
        <w:rPr>
          <w:snapToGrid w:val="0"/>
        </w:rPr>
        <w:t xml:space="preserve">the internal rate of return (IRR) is calculated. </w:t>
      </w:r>
    </w:p>
    <w:p w:rsidR="003B2B78" w:rsidRPr="00B0307B" w:rsidRDefault="003B2B78" w:rsidP="003B2B78">
      <w:pPr>
        <w:jc w:val="both"/>
        <w:rPr>
          <w:snapToGrid w:val="0"/>
        </w:rPr>
      </w:pPr>
      <w:r>
        <w:rPr>
          <w:snapToGrid w:val="0"/>
          <w:lang w:val="en-US"/>
        </w:rPr>
        <w:t xml:space="preserve">The economic calculation is </w:t>
      </w:r>
      <w:r w:rsidRPr="00B0307B">
        <w:rPr>
          <w:snapToGrid w:val="0"/>
        </w:rPr>
        <w:t>done by</w:t>
      </w:r>
    </w:p>
    <w:p w:rsidR="003B2B78" w:rsidRPr="00F47FCB" w:rsidRDefault="003B2B78" w:rsidP="003B2B78">
      <w:pPr>
        <w:jc w:val="both"/>
        <w:rPr>
          <w:snapToGrid w:val="0"/>
          <w:sz w:val="16"/>
          <w:szCs w:val="16"/>
        </w:rPr>
      </w:pPr>
    </w:p>
    <w:p w:rsidR="003B2B78" w:rsidRPr="002D0C6A" w:rsidRDefault="002D0C6A" w:rsidP="003B2B78">
      <w:pPr>
        <w:jc w:val="center"/>
        <w:rPr>
          <w:snapToGrid w:val="0"/>
          <w:lang w:val="de-AT"/>
        </w:rPr>
      </w:pPr>
      <m:oMathPara>
        <m:oMath>
          <m:r>
            <w:rPr>
              <w:rFonts w:ascii="Cambria Math" w:hAnsi="Cambria Math"/>
              <w:snapToGrid w:val="0"/>
              <w:lang w:val="de-AT"/>
            </w:rPr>
            <m:t>NPV= -</m:t>
          </m:r>
          <m:d>
            <m:dPr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lang w:val="de-AT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lang w:val="de-AT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lang w:val="de-AT"/>
                    </w:rPr>
                    <m:t>PV</m:t>
                  </m:r>
                </m:sub>
              </m:sSub>
            </m:e>
          </m:d>
          <m:r>
            <w:rPr>
              <w:rFonts w:ascii="Cambria Math" w:hAnsi="Cambria Math"/>
              <w:snapToGrid w:val="0"/>
              <w:lang w:val="de-AT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naryPr>
            <m:sub>
              <m:r>
                <w:rPr>
                  <w:rFonts w:ascii="Cambria Math" w:hAnsi="Cambria Math"/>
                  <w:snapToGrid w:val="0"/>
                  <w:lang w:val="de-AT"/>
                </w:rPr>
                <m:t>t=1</m:t>
              </m:r>
            </m:sub>
            <m:sup>
              <m:r>
                <w:rPr>
                  <w:rFonts w:ascii="Cambria Math" w:hAnsi="Cambria Math"/>
                  <w:snapToGrid w:val="0"/>
                  <w:lang w:val="de-AT"/>
                </w:rPr>
                <m:t>25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lang w:val="de-A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napToGrid w:val="0"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napToGrid w:val="0"/>
                          <w:lang w:val="de-A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napToGrid w:val="0"/>
                              <w:lang w:val="de-A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napToGrid w:val="0"/>
                              <w:lang w:val="de-AT"/>
                            </w:rPr>
                            <m:t>1+IRR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napToGrid w:val="0"/>
              <w:lang w:val="de-AT"/>
            </w:rPr>
            <m:t>=0</m:t>
          </m:r>
        </m:oMath>
      </m:oMathPara>
    </w:p>
    <w:p w:rsidR="003B2B78" w:rsidRPr="00F47FCB" w:rsidRDefault="003B2B78" w:rsidP="003B2B78">
      <w:pPr>
        <w:jc w:val="both"/>
        <w:rPr>
          <w:snapToGrid w:val="0"/>
          <w:sz w:val="16"/>
          <w:szCs w:val="16"/>
          <w:lang w:val="de-AT"/>
        </w:rPr>
      </w:pPr>
    </w:p>
    <w:p w:rsidR="003B2B78" w:rsidRDefault="003B2B78" w:rsidP="003B2B78">
      <w:pPr>
        <w:jc w:val="both"/>
        <w:rPr>
          <w:snapToGrid w:val="0"/>
          <w:lang w:val="de-AT"/>
        </w:rPr>
      </w:pPr>
    </w:p>
    <w:p w:rsidR="003B2B78" w:rsidRPr="00B0307B" w:rsidRDefault="003B2B78" w:rsidP="003B2B78">
      <w:pPr>
        <w:jc w:val="center"/>
        <w:rPr>
          <w:snapToGrid w:val="0"/>
        </w:rPr>
      </w:pPr>
      <w:proofErr w:type="gramStart"/>
      <w:r>
        <w:rPr>
          <w:snapToGrid w:val="0"/>
        </w:rPr>
        <w:t>where</w:t>
      </w:r>
      <w:proofErr w:type="gramEnd"/>
      <w:r>
        <w:rPr>
          <w:snapToGrid w:val="0"/>
        </w:rPr>
        <w:t xml:space="preserve"> the cash-flow (C</w:t>
      </w:r>
      <w:r>
        <w:rPr>
          <w:snapToGrid w:val="0"/>
          <w:vertAlign w:val="subscript"/>
        </w:rPr>
        <w:t>t</w:t>
      </w:r>
      <w:r>
        <w:rPr>
          <w:snapToGrid w:val="0"/>
        </w:rPr>
        <w:t xml:space="preserve">) strongly depends on self-consumption, electricity </w:t>
      </w:r>
      <w:r>
        <w:rPr>
          <w:snapToGrid w:val="0"/>
        </w:rPr>
        <w:t>tariffs</w:t>
      </w:r>
      <w:r>
        <w:rPr>
          <w:snapToGrid w:val="0"/>
        </w:rPr>
        <w:t xml:space="preserve"> and feed-in </w:t>
      </w:r>
      <w:r>
        <w:rPr>
          <w:snapToGrid w:val="0"/>
        </w:rPr>
        <w:t>remuneration</w:t>
      </w:r>
      <w:r>
        <w:rPr>
          <w:snapToGrid w:val="0"/>
        </w:rPr>
        <w:t>.</w:t>
      </w:r>
    </w:p>
    <w:p w:rsidR="00DC69F1" w:rsidRPr="00A247C7" w:rsidRDefault="00DC69F1" w:rsidP="003B2B78">
      <w:pPr>
        <w:jc w:val="both"/>
        <w:rPr>
          <w:i/>
        </w:rPr>
      </w:pPr>
    </w:p>
    <w:p w:rsidR="00DC69F1" w:rsidRDefault="00DC69F1" w:rsidP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230405" w:rsidRDefault="003D2C15" w:rsidP="00C14CF1">
      <w:pPr>
        <w:jc w:val="both"/>
      </w:pPr>
      <w:r>
        <w:t xml:space="preserve">Battery supported photovoltaic systems can increase self-consumption and self-sufficiency of households significantly. When we look at a standardized household load profile with a consumption of 4000 kWh/a, a 5 </w:t>
      </w:r>
      <w:proofErr w:type="spellStart"/>
      <w:r>
        <w:t>kWp</w:t>
      </w:r>
      <w:proofErr w:type="spellEnd"/>
      <w:r>
        <w:t xml:space="preserve"> PV-system and a 5 kWh battery storage, the rate of </w:t>
      </w:r>
      <w:proofErr w:type="spellStart"/>
      <w:r>
        <w:t>self consumption</w:t>
      </w:r>
      <w:proofErr w:type="spellEnd"/>
      <w:r>
        <w:t xml:space="preserve"> increases from about 31% to 48% and</w:t>
      </w:r>
      <w:r w:rsidR="00C74D97">
        <w:t xml:space="preserve"> the rate of</w:t>
      </w:r>
      <w:r>
        <w:t xml:space="preserve"> </w:t>
      </w:r>
      <w:proofErr w:type="spellStart"/>
      <w:r>
        <w:t>self sufficiency</w:t>
      </w:r>
      <w:proofErr w:type="spellEnd"/>
      <w:r>
        <w:t xml:space="preserve"> increases from 42% to 66%</w:t>
      </w:r>
      <w:r w:rsidR="00C74D97">
        <w:t xml:space="preserve"> considering a battery storage system</w:t>
      </w:r>
      <w:r>
        <w:t xml:space="preserve">. </w:t>
      </w:r>
    </w:p>
    <w:p w:rsidR="003D2C15" w:rsidRPr="00230405" w:rsidRDefault="003D2C15" w:rsidP="00C14CF1">
      <w:pPr>
        <w:jc w:val="both"/>
      </w:pPr>
      <w:r>
        <w:fldChar w:fldCharType="begin"/>
      </w:r>
      <w:r>
        <w:instrText xml:space="preserve"> REF _Ref440189894 \h </w:instrText>
      </w:r>
      <w:r w:rsidR="00C14CF1">
        <w:instrText xml:space="preserve"> \* MERGEFORMAT </w:instrText>
      </w:r>
      <w:r>
        <w:fldChar w:fldCharType="separate"/>
      </w:r>
      <w:r w:rsidR="002B74D4">
        <w:t xml:space="preserve">Figure </w:t>
      </w:r>
      <w:r w:rsidR="002B74D4">
        <w:rPr>
          <w:noProof/>
        </w:rPr>
        <w:t>1</w:t>
      </w:r>
      <w:r>
        <w:fldChar w:fldCharType="end"/>
      </w:r>
      <w:r>
        <w:t xml:space="preserve"> shows two charging strategies of the battery</w:t>
      </w:r>
      <w:r w:rsidR="00C74D97">
        <w:t>, whereas the left figure displays the results for the t</w:t>
      </w:r>
      <w:r>
        <w:t>otal load coverage</w:t>
      </w:r>
      <w:r w:rsidR="00C74D97">
        <w:t xml:space="preserve"> strategy and the right the</w:t>
      </w:r>
      <w:r>
        <w:t xml:space="preserve"> peak load coverage</w:t>
      </w:r>
      <w:r w:rsidR="00C74D97">
        <w:t xml:space="preserve"> strategy</w:t>
      </w:r>
      <w:r>
        <w:t xml:space="preserve">. In peak load mode the battery mainly covers a </w:t>
      </w:r>
      <w:r w:rsidR="00697B96">
        <w:t xml:space="preserve">fixed </w:t>
      </w:r>
      <w:r>
        <w:t xml:space="preserve">peak load </w:t>
      </w:r>
      <w:r w:rsidR="00697B96">
        <w:t>(e.g. 50% of the maximum load [</w:t>
      </w:r>
      <w:proofErr w:type="gramStart"/>
      <w:r w:rsidR="00697B96">
        <w:t>kw</w:t>
      </w:r>
      <w:proofErr w:type="gramEnd"/>
      <w:r w:rsidR="00697B96">
        <w:t xml:space="preserve">]) but is also able to cover total load if battery capacity is left. </w:t>
      </w:r>
      <w:r w:rsidR="00C14CF1">
        <w:t xml:space="preserve">When we compare these two charging strategies in terms </w:t>
      </w:r>
      <w:r w:rsidR="00C74D97">
        <w:t xml:space="preserve">of </w:t>
      </w:r>
      <w:proofErr w:type="spellStart"/>
      <w:r w:rsidR="00C14CF1">
        <w:t>self consumption</w:t>
      </w:r>
      <w:proofErr w:type="spellEnd"/>
      <w:r w:rsidR="00C14CF1">
        <w:t xml:space="preserve"> and </w:t>
      </w:r>
      <w:proofErr w:type="spellStart"/>
      <w:r w:rsidR="00C14CF1">
        <w:t>self sufficiency</w:t>
      </w:r>
      <w:proofErr w:type="spellEnd"/>
      <w:r w:rsidR="00C14CF1">
        <w:t xml:space="preserve"> we can observe that there is almost no difference </w:t>
      </w:r>
      <w:r w:rsidR="00C74D97">
        <w:t xml:space="preserve">as a result of the optimally use of the </w:t>
      </w:r>
      <w:proofErr w:type="spellStart"/>
      <w:r w:rsidR="00C74D97">
        <w:t>batterie’s</w:t>
      </w:r>
      <w:proofErr w:type="spellEnd"/>
      <w:r w:rsidR="00C74D97">
        <w:t xml:space="preserve"> capacity.</w:t>
      </w:r>
      <w:r w:rsidR="00C14CF1">
        <w:t xml:space="preserve"> This implicates, that there is also no difference in terms of economic parameters when </w:t>
      </w:r>
      <w:r w:rsidR="00805719">
        <w:t>most common</w:t>
      </w:r>
      <w:r w:rsidR="00C14CF1">
        <w:t xml:space="preserve"> electricity tariffs</w:t>
      </w:r>
      <w:r w:rsidR="00805719">
        <w:t xml:space="preserve"> </w:t>
      </w:r>
      <w:r w:rsidR="00C14CF1">
        <w:t xml:space="preserve">and feed-in remunerations </w:t>
      </w:r>
      <w:r w:rsidR="00805719">
        <w:t xml:space="preserve">(fixed </w:t>
      </w:r>
      <w:proofErr w:type="spellStart"/>
      <w:r w:rsidR="00805719">
        <w:t>kilowatthourly</w:t>
      </w:r>
      <w:proofErr w:type="spellEnd"/>
      <w:r w:rsidR="00805719">
        <w:t xml:space="preserve"> based rate) </w:t>
      </w:r>
      <w:r w:rsidR="00C14CF1">
        <w:t xml:space="preserve">are considered. </w:t>
      </w:r>
      <w:r w:rsidR="003F07E5">
        <w:t>When we look at time variable tariffs (</w:t>
      </w:r>
      <w:proofErr w:type="spellStart"/>
      <w:r w:rsidR="00ED3BBB">
        <w:t>ToU</w:t>
      </w:r>
      <w:proofErr w:type="spellEnd"/>
      <w:r w:rsidR="00ED3BBB">
        <w:t xml:space="preserve"> t</w:t>
      </w:r>
      <w:r w:rsidR="003F07E5">
        <w:t xml:space="preserve">ariff, Peak load Pricing) there </w:t>
      </w:r>
      <w:r w:rsidR="00CB6928">
        <w:t>is a</w:t>
      </w:r>
      <w:r w:rsidR="003F07E5">
        <w:t xml:space="preserve"> difference in the economic parame</w:t>
      </w:r>
      <w:r w:rsidR="0047519F">
        <w:t>ters.</w:t>
      </w:r>
    </w:p>
    <w:p w:rsidR="00230405" w:rsidRDefault="002D0C6A" w:rsidP="005F50EC">
      <w:pPr>
        <w:pStyle w:val="berschrift2"/>
        <w:jc w:val="center"/>
      </w:pPr>
      <w:r>
        <w:rPr>
          <w:rFonts w:ascii="Times New Roman" w:hAnsi="Times New Roman"/>
          <w:b w:val="0"/>
          <w:i w:val="0"/>
          <w:noProof/>
          <w:sz w:val="20"/>
          <w:lang w:eastAsia="en-GB"/>
        </w:rPr>
        <w:lastRenderedPageBreak/>
        <w:drawing>
          <wp:inline distT="0" distB="0" distL="0" distR="0">
            <wp:extent cx="5367020" cy="1995805"/>
            <wp:effectExtent l="0" t="0" r="5080" b="444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F1" w:rsidRDefault="00230405" w:rsidP="005F50EC">
      <w:pPr>
        <w:pStyle w:val="Beschriftung"/>
        <w:jc w:val="center"/>
      </w:pPr>
      <w:bookmarkStart w:id="0" w:name="_Ref44018989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B74D4">
        <w:rPr>
          <w:noProof/>
        </w:rPr>
        <w:t>1</w:t>
      </w:r>
      <w:r>
        <w:fldChar w:fldCharType="end"/>
      </w:r>
      <w:bookmarkEnd w:id="0"/>
      <w:r>
        <w:t>: Charging Strategies of the battery for a standardized household load profile: left: total load coverage, right: peak load coverage</w:t>
      </w:r>
    </w:p>
    <w:p w:rsidR="0047519F" w:rsidRDefault="0047519F" w:rsidP="0047519F"/>
    <w:p w:rsidR="00ED3BBB" w:rsidRDefault="0047519F" w:rsidP="00ED3BBB">
      <w:pPr>
        <w:jc w:val="both"/>
      </w:pPr>
      <w:r>
        <w:fldChar w:fldCharType="begin"/>
      </w:r>
      <w:r>
        <w:instrText xml:space="preserve"> REF _Ref440194907 \h </w:instrText>
      </w:r>
      <w:r w:rsidR="00ED3BBB">
        <w:instrText xml:space="preserve"> \* MERGEFORMAT </w:instrText>
      </w:r>
      <w:r>
        <w:fldChar w:fldCharType="separate"/>
      </w:r>
      <w:r w:rsidR="002B74D4">
        <w:t>Figure 2</w:t>
      </w:r>
      <w:r>
        <w:fldChar w:fldCharType="end"/>
      </w:r>
      <w:r>
        <w:t xml:space="preserve"> points out </w:t>
      </w:r>
      <w:r>
        <w:t>the residual load of a household without a PV</w:t>
      </w:r>
      <w:r w:rsidR="00ED3BBB">
        <w:t>-System and with PV-System and b</w:t>
      </w:r>
      <w:r>
        <w:t xml:space="preserve">attery. </w:t>
      </w:r>
      <w:r w:rsidR="00C74D97">
        <w:t>It can be seen</w:t>
      </w:r>
      <w:r>
        <w:t xml:space="preserve">, </w:t>
      </w:r>
      <w:r w:rsidR="00C74D97">
        <w:t xml:space="preserve">that </w:t>
      </w:r>
      <w:r>
        <w:t>there is almost no difference in peak load when we look at the electricity which has to be purchased from the electricity grid</w:t>
      </w:r>
      <w:r w:rsidR="00ED3BBB">
        <w:t xml:space="preserve"> (“residual load” if PV is installed)</w:t>
      </w:r>
      <w:r w:rsidR="00C74D97">
        <w:t xml:space="preserve">. This </w:t>
      </w:r>
      <w:proofErr w:type="gramStart"/>
      <w:r w:rsidR="00C74D97">
        <w:t>indicates</w:t>
      </w:r>
      <w:r>
        <w:t>,</w:t>
      </w:r>
      <w:proofErr w:type="gramEnd"/>
      <w:r>
        <w:t xml:space="preserve"> that users of PV-Systems and batteries </w:t>
      </w:r>
      <w:r w:rsidR="00C74D97">
        <w:t>operated</w:t>
      </w:r>
      <w:r>
        <w:t xml:space="preserve"> in total coverage mode need the same power rate as users without these systems, but pay less</w:t>
      </w:r>
      <w:r w:rsidR="00ED3BBB">
        <w:t xml:space="preserve"> network access charges. </w:t>
      </w:r>
      <w:r w:rsidR="00ED3BBB" w:rsidRPr="00ED3BBB">
        <w:t>We thereby anticipate that through a shift of the network access charges from energy-related consumption to capacity, the true costs of individual customer groups can be better reflected</w:t>
      </w:r>
      <w:r w:rsidR="00ED3BBB" w:rsidRPr="00ED3BBB">
        <w:t xml:space="preserve"> and may also change the economic profitability of battery storages</w:t>
      </w:r>
      <w:r w:rsidR="00ED3BBB">
        <w:t xml:space="preserve"> significantly</w:t>
      </w:r>
      <w:r w:rsidR="00ED3BBB" w:rsidRPr="00ED3BBB">
        <w:t>.</w:t>
      </w:r>
      <w:r w:rsidR="00ED3BBB" w:rsidRPr="00ED3BBB">
        <w:t xml:space="preserve"> </w:t>
      </w:r>
    </w:p>
    <w:p w:rsidR="002B74D4" w:rsidRPr="00ED3BBB" w:rsidRDefault="002B74D4" w:rsidP="00ED3BBB">
      <w:pPr>
        <w:jc w:val="both"/>
      </w:pPr>
      <w:r>
        <w:t xml:space="preserve">Not only alternative tariff-options, which influence the operation mode of the battery, </w:t>
      </w:r>
      <w:r w:rsidR="00C74D97">
        <w:t xml:space="preserve">but </w:t>
      </w:r>
      <w:r>
        <w:t xml:space="preserve">also technological learning has a big impact on the economic profitability of decentralized battery storages. In 2013 a </w:t>
      </w:r>
      <w:r w:rsidR="00561705">
        <w:t>5 kWh lithium battery storage accounts for about 2560 €/kWh, in 20</w:t>
      </w:r>
      <w:bookmarkStart w:id="1" w:name="_GoBack"/>
      <w:bookmarkEnd w:id="1"/>
      <w:r w:rsidR="00561705">
        <w:t xml:space="preserve">15 it declined to about 2000 €/kWh and the </w:t>
      </w:r>
      <w:proofErr w:type="spellStart"/>
      <w:r w:rsidR="00561705">
        <w:t>world wide</w:t>
      </w:r>
      <w:proofErr w:type="spellEnd"/>
      <w:r w:rsidR="00561705">
        <w:t xml:space="preserve"> trend of declining battery costs </w:t>
      </w:r>
      <w:r w:rsidR="00726C40">
        <w:t xml:space="preserve">continues unabated. Even if the economic profitability is not reached yet, </w:t>
      </w:r>
      <w:r w:rsidR="00CB6928">
        <w:t xml:space="preserve">a </w:t>
      </w:r>
      <w:proofErr w:type="spellStart"/>
      <w:r w:rsidR="00CB6928">
        <w:t>break even</w:t>
      </w:r>
      <w:proofErr w:type="spellEnd"/>
      <w:r w:rsidR="00CB6928">
        <w:t xml:space="preserve"> point can be reached in the next years</w:t>
      </w:r>
      <w:r w:rsidR="00C74D97">
        <w:t xml:space="preserve"> and thus can influence </w:t>
      </w:r>
      <w:r w:rsidR="00F96521">
        <w:t>an enhanced rollout of these systems with impacts on the whole electricity system</w:t>
      </w:r>
      <w:r w:rsidR="00CB6928">
        <w:t xml:space="preserve">. </w:t>
      </w:r>
    </w:p>
    <w:p w:rsidR="00230405" w:rsidRDefault="002D0C6A" w:rsidP="00ED3BBB">
      <w:pPr>
        <w:jc w:val="both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2266950</wp:posOffset>
                </wp:positionV>
                <wp:extent cx="4564380" cy="147955"/>
                <wp:effectExtent l="0" t="0" r="0" b="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19F" w:rsidRPr="00A12ACF" w:rsidRDefault="0047519F" w:rsidP="0047519F">
                            <w:pPr>
                              <w:pStyle w:val="Beschriftung"/>
                              <w:rPr>
                                <w:rFonts w:ascii="Arial" w:hAnsi="Arial"/>
                                <w:bCs w:val="0"/>
                                <w:sz w:val="24"/>
                                <w:szCs w:val="24"/>
                              </w:rPr>
                            </w:pPr>
                            <w:bookmarkStart w:id="2" w:name="_Ref440194907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2B74D4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bookmarkEnd w:id="2"/>
                            <w:r>
                              <w:t>: Classified residual load of a standardized household load 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92.6pt;margin-top:178.5pt;width:359.4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tjewIAAAEF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" stroked="f">
                <v:textbox style="mso-fit-shape-to-text:t" inset="0,0,0,0">
                  <w:txbxContent>
                    <w:p w:rsidR="0047519F" w:rsidRPr="00A12ACF" w:rsidRDefault="0047519F" w:rsidP="0047519F">
                      <w:pPr>
                        <w:pStyle w:val="Beschriftung"/>
                        <w:rPr>
                          <w:rFonts w:ascii="Arial" w:hAnsi="Arial"/>
                          <w:bCs w:val="0"/>
                          <w:sz w:val="24"/>
                          <w:szCs w:val="24"/>
                        </w:rPr>
                      </w:pPr>
                      <w:bookmarkStart w:id="3" w:name="_Ref440194907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2B74D4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bookmarkEnd w:id="3"/>
                      <w:r>
                        <w:t>: Classified residual load of a standardized household load profile</w:t>
                      </w:r>
                    </w:p>
                  </w:txbxContent>
                </v:textbox>
              </v:shape>
            </w:pict>
          </mc:Fallback>
        </mc:AlternateContent>
      </w:r>
      <w:r w:rsidR="0047519F">
        <w:t xml:space="preserve"> </w:t>
      </w:r>
      <w:r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424EB83D">
            <wp:simplePos x="0" y="0"/>
            <wp:positionH relativeFrom="character">
              <wp:posOffset>1144270</wp:posOffset>
            </wp:positionH>
            <wp:positionV relativeFrom="line">
              <wp:posOffset>61595</wp:posOffset>
            </wp:positionV>
            <wp:extent cx="4183380" cy="2205355"/>
            <wp:effectExtent l="0" t="0" r="7620" b="4445"/>
            <wp:wrapNone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20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24EB83D">
                <wp:extent cx="4563745" cy="2401570"/>
                <wp:effectExtent l="0" t="0" r="0" b="0"/>
                <wp:docPr id="2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63745" cy="240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style="width:359.35pt;height:18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DC69F1" w:rsidRPr="00D767DA" w:rsidRDefault="00DC69F1">
      <w:pPr>
        <w:pStyle w:val="berschrift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A247C7" w:rsidRDefault="00CB6928" w:rsidP="0041128E">
      <w:pPr>
        <w:pStyle w:val="Textkrper2"/>
        <w:spacing w:after="200"/>
        <w:rPr>
          <w:i/>
        </w:rPr>
      </w:pPr>
      <w:r>
        <w:t xml:space="preserve">Due to technological learning and alternative tariffs, battery storages can become an economic attractive solution </w:t>
      </w:r>
      <w:r w:rsidR="0041128E">
        <w:t>for decentralized use</w:t>
      </w:r>
      <w:r>
        <w:t>. In a future energy system, they can change the load profile of households</w:t>
      </w:r>
      <w:r w:rsidR="0041128E">
        <w:t xml:space="preserve"> significantly</w:t>
      </w:r>
      <w:r>
        <w:t xml:space="preserve"> and they need to react on price signals (charge the battery when electricity prices are low, discharge when prices are high) </w:t>
      </w:r>
      <w:r w:rsidR="0041128E">
        <w:t>if time variable tariffs are implemented. Besides their role of increasing self-consumption and self-sufficiency, a “system friendly” operation mode is necessary</w:t>
      </w:r>
      <w:r w:rsidR="00F96521">
        <w:t xml:space="preserve"> to be a flexibility option to match electricity demand and </w:t>
      </w:r>
      <w:proofErr w:type="spellStart"/>
      <w:r w:rsidR="00F96521">
        <w:t>suplpy</w:t>
      </w:r>
      <w:proofErr w:type="spellEnd"/>
      <w:r w:rsidR="005B05F3">
        <w:t>.</w:t>
      </w: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DC69F1" w:rsidRDefault="00D86D99" w:rsidP="0041128E">
      <w:pPr>
        <w:pStyle w:val="Literaturverzeichnis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proofErr w:type="spellStart"/>
      <w:proofErr w:type="gramStart"/>
      <w:r w:rsidRPr="00D86D99">
        <w:t>Huld</w:t>
      </w:r>
      <w:proofErr w:type="spellEnd"/>
      <w:r w:rsidRPr="00D86D99">
        <w:t xml:space="preserve">, T., </w:t>
      </w:r>
      <w:proofErr w:type="spellStart"/>
      <w:r w:rsidRPr="00D86D99">
        <w:t>Gottschalg</w:t>
      </w:r>
      <w:proofErr w:type="spellEnd"/>
      <w:r w:rsidRPr="00D86D99">
        <w:t xml:space="preserve">, R., Beyer, H.G., and </w:t>
      </w:r>
      <w:proofErr w:type="spellStart"/>
      <w:r w:rsidRPr="00D86D99">
        <w:t>Topič</w:t>
      </w:r>
      <w:proofErr w:type="spellEnd"/>
      <w:r w:rsidRPr="00D86D99">
        <w:t>, M. (2010).</w:t>
      </w:r>
      <w:proofErr w:type="gramEnd"/>
      <w:r w:rsidRPr="00D86D99">
        <w:t xml:space="preserve"> </w:t>
      </w:r>
      <w:proofErr w:type="gramStart"/>
      <w:r w:rsidRPr="00D86D99">
        <w:t>Mapping the performance of PV modules, effects of module type and data averaging.</w:t>
      </w:r>
      <w:proofErr w:type="gramEnd"/>
      <w:r w:rsidRPr="00D86D99">
        <w:t xml:space="preserve"> Sol. Energy </w:t>
      </w:r>
      <w:r w:rsidRPr="00D86D99">
        <w:rPr>
          <w:i/>
          <w:iCs/>
        </w:rPr>
        <w:t>84</w:t>
      </w:r>
      <w:r w:rsidRPr="00D86D99">
        <w:t>, 324–338.</w:t>
      </w:r>
      <w:r>
        <w:fldChar w:fldCharType="end"/>
      </w:r>
    </w:p>
    <w:sectPr w:rsidR="00DC69F1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93" w:rsidRDefault="005B2E93">
      <w:r>
        <w:separator/>
      </w:r>
    </w:p>
  </w:endnote>
  <w:endnote w:type="continuationSeparator" w:id="0">
    <w:p w:rsidR="005B2E93" w:rsidRDefault="005B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93" w:rsidRDefault="005B2E93">
      <w:r>
        <w:separator/>
      </w:r>
    </w:p>
  </w:footnote>
  <w:footnote w:type="continuationSeparator" w:id="0">
    <w:p w:rsidR="005B2E93" w:rsidRDefault="005B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00170"/>
    <w:rsid w:val="000F1CC5"/>
    <w:rsid w:val="00230405"/>
    <w:rsid w:val="002B74D4"/>
    <w:rsid w:val="002D0C6A"/>
    <w:rsid w:val="003B2B78"/>
    <w:rsid w:val="003D2C15"/>
    <w:rsid w:val="003F07E5"/>
    <w:rsid w:val="0041128E"/>
    <w:rsid w:val="0047519F"/>
    <w:rsid w:val="004A675F"/>
    <w:rsid w:val="004C048E"/>
    <w:rsid w:val="005203D7"/>
    <w:rsid w:val="00561705"/>
    <w:rsid w:val="005A5112"/>
    <w:rsid w:val="005B05F3"/>
    <w:rsid w:val="005B2E93"/>
    <w:rsid w:val="005F50EC"/>
    <w:rsid w:val="0063621C"/>
    <w:rsid w:val="00697B96"/>
    <w:rsid w:val="006E2045"/>
    <w:rsid w:val="007018AD"/>
    <w:rsid w:val="00726C40"/>
    <w:rsid w:val="00762E13"/>
    <w:rsid w:val="00790ED5"/>
    <w:rsid w:val="007C4EF4"/>
    <w:rsid w:val="00805719"/>
    <w:rsid w:val="008B01FB"/>
    <w:rsid w:val="008E1C8C"/>
    <w:rsid w:val="00935142"/>
    <w:rsid w:val="00991550"/>
    <w:rsid w:val="009B581D"/>
    <w:rsid w:val="00A31385"/>
    <w:rsid w:val="00A657DD"/>
    <w:rsid w:val="00A73BA9"/>
    <w:rsid w:val="00A96D21"/>
    <w:rsid w:val="00AF1B2F"/>
    <w:rsid w:val="00B02B7D"/>
    <w:rsid w:val="00BD18BD"/>
    <w:rsid w:val="00C14CF1"/>
    <w:rsid w:val="00C74D97"/>
    <w:rsid w:val="00CA0507"/>
    <w:rsid w:val="00CB6928"/>
    <w:rsid w:val="00D351D8"/>
    <w:rsid w:val="00D86D99"/>
    <w:rsid w:val="00D97FB6"/>
    <w:rsid w:val="00DC69F1"/>
    <w:rsid w:val="00DD0754"/>
    <w:rsid w:val="00DF5067"/>
    <w:rsid w:val="00E046B2"/>
    <w:rsid w:val="00E20DDD"/>
    <w:rsid w:val="00E37484"/>
    <w:rsid w:val="00E5556F"/>
    <w:rsid w:val="00E9636B"/>
    <w:rsid w:val="00ED3BBB"/>
    <w:rsid w:val="00EE5954"/>
    <w:rsid w:val="00F344CF"/>
    <w:rsid w:val="00F83353"/>
    <w:rsid w:val="00F9300B"/>
    <w:rsid w:val="00F96521"/>
    <w:rsid w:val="00FC73E0"/>
    <w:rsid w:val="00FD37C8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link w:val="TextkrperZchn"/>
    <w:rPr>
      <w:sz w:val="22"/>
    </w:rPr>
  </w:style>
  <w:style w:type="paragraph" w:styleId="Textkrper2">
    <w:name w:val="Body Text 2"/>
    <w:basedOn w:val="Standard"/>
    <w:pPr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20">
    <w:name w:val="Body Text 2"/>
    <w:basedOn w:val="Standard"/>
    <w:pPr>
      <w:ind w:firstLine="360"/>
      <w:jc w:val="both"/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D86D99"/>
    <w:pPr>
      <w:spacing w:after="240"/>
    </w:pPr>
  </w:style>
  <w:style w:type="paragraph" w:styleId="Beschriftung">
    <w:name w:val="caption"/>
    <w:basedOn w:val="Standard"/>
    <w:next w:val="Standard"/>
    <w:unhideWhenUsed/>
    <w:qFormat/>
    <w:rsid w:val="00230405"/>
    <w:rPr>
      <w:b/>
      <w:bCs/>
    </w:rPr>
  </w:style>
  <w:style w:type="paragraph" w:styleId="Sprechblasentext">
    <w:name w:val="Balloon Text"/>
    <w:basedOn w:val="Standard"/>
    <w:link w:val="SprechblasentextZchn"/>
    <w:rsid w:val="00C74D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4D97"/>
    <w:rPr>
      <w:rFonts w:ascii="Tahoma" w:hAnsi="Tahoma" w:cs="Tahoma"/>
      <w:sz w:val="16"/>
      <w:szCs w:val="16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A31385"/>
    <w:rPr>
      <w:rFonts w:ascii="Times New Roman" w:hAnsi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link w:val="TextkrperZchn"/>
    <w:rPr>
      <w:sz w:val="22"/>
    </w:rPr>
  </w:style>
  <w:style w:type="paragraph" w:styleId="Textkrper2">
    <w:name w:val="Body Text 2"/>
    <w:basedOn w:val="Standard"/>
    <w:pPr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20">
    <w:name w:val="Body Text 2"/>
    <w:basedOn w:val="Standard"/>
    <w:pPr>
      <w:ind w:firstLine="360"/>
      <w:jc w:val="both"/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D86D99"/>
    <w:pPr>
      <w:spacing w:after="240"/>
    </w:pPr>
  </w:style>
  <w:style w:type="paragraph" w:styleId="Beschriftung">
    <w:name w:val="caption"/>
    <w:basedOn w:val="Standard"/>
    <w:next w:val="Standard"/>
    <w:unhideWhenUsed/>
    <w:qFormat/>
    <w:rsid w:val="00230405"/>
    <w:rPr>
      <w:b/>
      <w:bCs/>
    </w:rPr>
  </w:style>
  <w:style w:type="paragraph" w:styleId="Sprechblasentext">
    <w:name w:val="Balloon Text"/>
    <w:basedOn w:val="Standard"/>
    <w:link w:val="SprechblasentextZchn"/>
    <w:rsid w:val="00C74D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4D97"/>
    <w:rPr>
      <w:rFonts w:ascii="Tahoma" w:hAnsi="Tahoma" w:cs="Tahoma"/>
      <w:sz w:val="16"/>
      <w:szCs w:val="16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A31385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C804-73E1-44A1-832C-296D17B8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TU Wien - Campusversion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hiesl</cp:lastModifiedBy>
  <cp:revision>2</cp:revision>
  <cp:lastPrinted>2016-01-11T10:08:00Z</cp:lastPrinted>
  <dcterms:created xsi:type="dcterms:W3CDTF">2016-01-14T09:34:00Z</dcterms:created>
  <dcterms:modified xsi:type="dcterms:W3CDTF">2016-01-14T09:34:00Z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zotero-version="4.0.28.10"&gt;&lt;session id="fOybwG8V"/&gt;&lt;style id="http://www.zotero.org/styles/cell"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value=""/&gt;&lt;/prefs&gt;&lt;/data&gt;</vt:lpwstr>
  </property>
</Properties>
</file>