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9805C" w14:textId="77777777" w:rsidR="00095C8F" w:rsidRDefault="00A16959" w:rsidP="00D34F8D">
      <w:pPr>
        <w:pStyle w:val="BodyText"/>
        <w:spacing w:after="240"/>
        <w:rPr>
          <w:b/>
          <w:bCs/>
          <w:i/>
          <w:sz w:val="28"/>
          <w:szCs w:val="24"/>
        </w:rPr>
      </w:pPr>
      <w:r w:rsidRPr="00D34F8D">
        <w:rPr>
          <w:b/>
          <w:bCs/>
          <w:i/>
          <w:sz w:val="28"/>
          <w:szCs w:val="24"/>
        </w:rPr>
        <w:t xml:space="preserve">UNCERTAINTY </w:t>
      </w:r>
      <w:r>
        <w:rPr>
          <w:b/>
          <w:bCs/>
          <w:i/>
          <w:sz w:val="28"/>
          <w:szCs w:val="24"/>
        </w:rPr>
        <w:t>IN BENEFIT-COST ANALYSIS</w:t>
      </w:r>
      <w:r w:rsidR="00D81F4B">
        <w:rPr>
          <w:b/>
          <w:bCs/>
          <w:i/>
          <w:sz w:val="28"/>
          <w:szCs w:val="24"/>
        </w:rPr>
        <w:t xml:space="preserve"> OF SMART GRID</w:t>
      </w:r>
      <w:r>
        <w:rPr>
          <w:b/>
          <w:bCs/>
          <w:i/>
          <w:sz w:val="28"/>
          <w:szCs w:val="24"/>
        </w:rPr>
        <w:t xml:space="preserve"> DEMONSTRATION</w:t>
      </w:r>
      <w:r w:rsidR="00D81F4B">
        <w:rPr>
          <w:b/>
          <w:bCs/>
          <w:i/>
          <w:sz w:val="28"/>
          <w:szCs w:val="24"/>
        </w:rPr>
        <w:t xml:space="preserve"> </w:t>
      </w:r>
      <w:r w:rsidR="008A3EE6">
        <w:rPr>
          <w:b/>
          <w:bCs/>
          <w:i/>
          <w:sz w:val="28"/>
          <w:szCs w:val="24"/>
        </w:rPr>
        <w:t>PROJECT</w:t>
      </w:r>
      <w:r w:rsidR="00D81F4B">
        <w:rPr>
          <w:b/>
          <w:bCs/>
          <w:i/>
          <w:sz w:val="28"/>
          <w:szCs w:val="24"/>
        </w:rPr>
        <w:t>S</w:t>
      </w:r>
      <w:r>
        <w:rPr>
          <w:b/>
          <w:bCs/>
          <w:i/>
          <w:sz w:val="28"/>
          <w:szCs w:val="24"/>
        </w:rPr>
        <w:t xml:space="preserve"> IN THE U.S., CHINA, AND ITALY</w:t>
      </w:r>
    </w:p>
    <w:p w14:paraId="60CE0F8E" w14:textId="77777777" w:rsidR="00A16959" w:rsidRDefault="00D34F8D" w:rsidP="00896FC5">
      <w:pPr>
        <w:spacing w:after="0"/>
        <w:jc w:val="right"/>
        <w:rPr>
          <w:rStyle w:val="Hyperlink"/>
          <w:sz w:val="20"/>
        </w:rPr>
      </w:pPr>
      <w:r w:rsidRPr="00D34F8D">
        <w:rPr>
          <w:rFonts w:ascii="Times New Roman" w:hAnsi="Times New Roman" w:cs="Times New Roman"/>
          <w:sz w:val="20"/>
          <w:lang w:val="en-GB"/>
        </w:rPr>
        <w:t>Nihan Karali, Lawrence Berkeley National Labor</w:t>
      </w:r>
      <w:r w:rsidR="00A16959">
        <w:rPr>
          <w:rFonts w:ascii="Times New Roman" w:hAnsi="Times New Roman" w:cs="Times New Roman"/>
          <w:sz w:val="20"/>
          <w:lang w:val="en-GB"/>
        </w:rPr>
        <w:t>atory, Phone: +1 510 495 8185, e</w:t>
      </w:r>
      <w:r w:rsidRPr="00D34F8D">
        <w:rPr>
          <w:rFonts w:ascii="Times New Roman" w:hAnsi="Times New Roman" w:cs="Times New Roman"/>
          <w:sz w:val="20"/>
          <w:lang w:val="en-GB"/>
        </w:rPr>
        <w:t>mail:</w:t>
      </w:r>
      <w:r w:rsidRPr="00D34F8D">
        <w:rPr>
          <w:rFonts w:ascii="Times New Roman" w:hAnsi="Times New Roman" w:cs="Times New Roman"/>
        </w:rPr>
        <w:t xml:space="preserve"> </w:t>
      </w:r>
      <w:hyperlink r:id="rId7" w:history="1">
        <w:r w:rsidRPr="00D34F8D">
          <w:rPr>
            <w:rStyle w:val="Hyperlink"/>
            <w:rFonts w:ascii="Times New Roman" w:hAnsi="Times New Roman" w:cs="Times New Roman"/>
            <w:sz w:val="20"/>
          </w:rPr>
          <w:t>NKarali@lbl.gov</w:t>
        </w:r>
      </w:hyperlink>
      <w:r w:rsidRPr="00D34F8D">
        <w:rPr>
          <w:rStyle w:val="Hyperlink"/>
          <w:rFonts w:ascii="Times New Roman" w:hAnsi="Times New Roman" w:cs="Times New Roman"/>
          <w:sz w:val="20"/>
        </w:rPr>
        <w:t xml:space="preserve"> </w:t>
      </w:r>
    </w:p>
    <w:p w14:paraId="367C6B0E" w14:textId="77777777" w:rsidR="00896FC5" w:rsidRDefault="002179DF" w:rsidP="00896FC5">
      <w:pPr>
        <w:spacing w:after="0"/>
        <w:jc w:val="right"/>
        <w:rPr>
          <w:rFonts w:ascii="Times New Roman" w:hAnsi="Times New Roman"/>
          <w:color w:val="000000" w:themeColor="text1"/>
          <w:sz w:val="20"/>
        </w:rPr>
      </w:pPr>
      <w:r>
        <w:rPr>
          <w:rFonts w:ascii="Times New Roman" w:hAnsi="Times New Roman"/>
          <w:color w:val="000000" w:themeColor="text1"/>
          <w:sz w:val="20"/>
        </w:rPr>
        <w:t xml:space="preserve">Gianluca Flego, European Commission </w:t>
      </w:r>
      <w:r w:rsidR="00896FC5">
        <w:rPr>
          <w:rFonts w:ascii="Times New Roman" w:hAnsi="Times New Roman"/>
          <w:color w:val="000000" w:themeColor="text1"/>
          <w:sz w:val="20"/>
        </w:rPr>
        <w:t>JRC</w:t>
      </w:r>
      <w:r>
        <w:rPr>
          <w:rFonts w:ascii="Times New Roman" w:hAnsi="Times New Roman"/>
          <w:color w:val="000000" w:themeColor="text1"/>
          <w:sz w:val="20"/>
        </w:rPr>
        <w:t xml:space="preserve">, Phone: +39 </w:t>
      </w:r>
      <w:r w:rsidR="00896FC5">
        <w:rPr>
          <w:rFonts w:ascii="Times New Roman" w:hAnsi="Times New Roman"/>
          <w:color w:val="000000" w:themeColor="text1"/>
          <w:sz w:val="20"/>
        </w:rPr>
        <w:t xml:space="preserve">332 785689, email: </w:t>
      </w:r>
      <w:hyperlink r:id="rId8" w:history="1">
        <w:r w:rsidR="00896FC5" w:rsidRPr="0077756B">
          <w:rPr>
            <w:rStyle w:val="Hyperlink"/>
            <w:rFonts w:ascii="Times New Roman" w:hAnsi="Times New Roman"/>
            <w:sz w:val="20"/>
          </w:rPr>
          <w:t>gianluca.flego@jrc.ec.europa.eu</w:t>
        </w:r>
      </w:hyperlink>
    </w:p>
    <w:p w14:paraId="5C379506" w14:textId="5E23C1AA" w:rsidR="00A16959" w:rsidRPr="00A16959" w:rsidRDefault="00A16959" w:rsidP="00896FC5">
      <w:pPr>
        <w:spacing w:after="0"/>
        <w:jc w:val="right"/>
        <w:rPr>
          <w:rStyle w:val="Hyperlink"/>
          <w:rFonts w:ascii="Times New Roman" w:hAnsi="Times New Roman"/>
          <w:color w:val="000000" w:themeColor="text1"/>
          <w:sz w:val="20"/>
          <w:u w:val="none"/>
        </w:rPr>
      </w:pPr>
      <w:r>
        <w:rPr>
          <w:rFonts w:ascii="Times New Roman" w:hAnsi="Times New Roman"/>
          <w:color w:val="000000" w:themeColor="text1"/>
          <w:sz w:val="20"/>
        </w:rPr>
        <w:t xml:space="preserve">Jiancheng Yu, </w:t>
      </w:r>
      <w:r w:rsidRPr="00A16959">
        <w:rPr>
          <w:rFonts w:ascii="Times New Roman" w:hAnsi="Times New Roman"/>
          <w:color w:val="000000" w:themeColor="text1"/>
          <w:sz w:val="20"/>
        </w:rPr>
        <w:t xml:space="preserve">State Grid Corp. of China, +86 22-24408671, </w:t>
      </w:r>
      <w:hyperlink r:id="rId9" w:history="1">
        <w:r w:rsidRPr="0092608A">
          <w:rPr>
            <w:rStyle w:val="Hyperlink"/>
            <w:rFonts w:ascii="Times New Roman" w:hAnsi="Times New Roman"/>
            <w:sz w:val="20"/>
          </w:rPr>
          <w:t>Jiancheng.Yu@tj.sgcc.com.cn</w:t>
        </w:r>
      </w:hyperlink>
      <w:r>
        <w:rPr>
          <w:rFonts w:ascii="Times New Roman" w:hAnsi="Times New Roman"/>
          <w:color w:val="000000" w:themeColor="text1"/>
          <w:sz w:val="20"/>
        </w:rPr>
        <w:t xml:space="preserve"> </w:t>
      </w:r>
    </w:p>
    <w:p w14:paraId="5B5CEA3C" w14:textId="7CFC6622" w:rsidR="00A16959" w:rsidRDefault="00A16959" w:rsidP="00896FC5">
      <w:pPr>
        <w:spacing w:after="0"/>
        <w:jc w:val="right"/>
        <w:rPr>
          <w:rStyle w:val="Hyperlink"/>
          <w:sz w:val="20"/>
        </w:rPr>
      </w:pPr>
      <w:r w:rsidRPr="00D34F8D">
        <w:rPr>
          <w:rFonts w:ascii="Times New Roman" w:hAnsi="Times New Roman" w:cs="Times New Roman"/>
          <w:sz w:val="20"/>
        </w:rPr>
        <w:t xml:space="preserve">Silvia Vitiello, </w:t>
      </w:r>
      <w:r w:rsidR="00896FC5">
        <w:rPr>
          <w:rFonts w:ascii="Times New Roman" w:hAnsi="Times New Roman"/>
          <w:color w:val="000000" w:themeColor="text1"/>
          <w:sz w:val="20"/>
        </w:rPr>
        <w:t>European Commission JRC</w:t>
      </w:r>
      <w:r w:rsidRPr="00D34F8D">
        <w:rPr>
          <w:rFonts w:ascii="Times New Roman" w:hAnsi="Times New Roman" w:cs="Times New Roman"/>
          <w:sz w:val="20"/>
        </w:rPr>
        <w:t xml:space="preserve">, Phone: </w:t>
      </w:r>
      <w:r w:rsidR="00896FC5">
        <w:rPr>
          <w:rFonts w:ascii="Times New Roman" w:hAnsi="Times New Roman" w:cs="Times New Roman"/>
          <w:sz w:val="20"/>
        </w:rPr>
        <w:t xml:space="preserve">+31 224 </w:t>
      </w:r>
      <w:r w:rsidRPr="00A16959">
        <w:rPr>
          <w:rFonts w:ascii="Times New Roman" w:hAnsi="Times New Roman" w:cs="Times New Roman"/>
          <w:sz w:val="20"/>
        </w:rPr>
        <w:t>565182</w:t>
      </w:r>
      <w:r>
        <w:rPr>
          <w:rFonts w:ascii="Times New Roman" w:hAnsi="Times New Roman" w:cs="Times New Roman"/>
          <w:sz w:val="20"/>
        </w:rPr>
        <w:t>, e</w:t>
      </w:r>
      <w:r w:rsidRPr="00D34F8D">
        <w:rPr>
          <w:rFonts w:ascii="Times New Roman" w:hAnsi="Times New Roman" w:cs="Times New Roman"/>
          <w:sz w:val="20"/>
        </w:rPr>
        <w:t>mail:</w:t>
      </w:r>
      <w:hyperlink r:id="rId10" w:history="1">
        <w:r w:rsidR="002372CC" w:rsidRPr="00210F23">
          <w:rPr>
            <w:rStyle w:val="Hyperlink"/>
            <w:rFonts w:ascii="Times New Roman" w:eastAsiaTheme="minorEastAsia" w:hAnsi="Times New Roman" w:cs="Times New Roman"/>
          </w:rPr>
          <w:t xml:space="preserve"> </w:t>
        </w:r>
        <w:r w:rsidR="002372CC" w:rsidRPr="00210F23">
          <w:rPr>
            <w:rStyle w:val="Hyperlink"/>
            <w:rFonts w:ascii="Times New Roman" w:hAnsi="Times New Roman" w:cs="Times New Roman"/>
            <w:sz w:val="20"/>
          </w:rPr>
          <w:t>Silvia.Vitiello@ec.europa.eu</w:t>
        </w:r>
      </w:hyperlink>
      <w:r>
        <w:rPr>
          <w:rStyle w:val="Hyperlink"/>
          <w:sz w:val="20"/>
        </w:rPr>
        <w:t xml:space="preserve"> </w:t>
      </w:r>
    </w:p>
    <w:p w14:paraId="2FE09F57" w14:textId="6643831E" w:rsidR="00D7320B" w:rsidRPr="007F2EAC" w:rsidRDefault="00D7320B" w:rsidP="00896FC5">
      <w:pPr>
        <w:spacing w:after="0"/>
        <w:jc w:val="right"/>
        <w:rPr>
          <w:rFonts w:ascii="Times New Roman" w:hAnsi="Times New Roman"/>
          <w:color w:val="000000" w:themeColor="text1"/>
          <w:sz w:val="20"/>
        </w:rPr>
      </w:pPr>
      <w:r>
        <w:rPr>
          <w:rFonts w:ascii="Times New Roman" w:hAnsi="Times New Roman"/>
          <w:color w:val="000000" w:themeColor="text1"/>
          <w:sz w:val="20"/>
        </w:rPr>
        <w:t xml:space="preserve">Dong Zhang, </w:t>
      </w:r>
      <w:r w:rsidRPr="00A16959">
        <w:rPr>
          <w:rFonts w:ascii="Times New Roman" w:hAnsi="Times New Roman"/>
          <w:color w:val="000000" w:themeColor="text1"/>
          <w:sz w:val="20"/>
        </w:rPr>
        <w:t>State Grid Corp. of China</w:t>
      </w:r>
      <w:r w:rsidRPr="00D7320B">
        <w:rPr>
          <w:rFonts w:ascii="Times New Roman" w:hAnsi="Times New Roman" w:cs="Times New Roman"/>
          <w:sz w:val="20"/>
        </w:rPr>
        <w:t>,</w:t>
      </w:r>
      <w:r w:rsidRPr="00D7320B">
        <w:rPr>
          <w:rFonts w:ascii="Times New Roman" w:hAnsi="Times New Roman" w:cs="Times New Roman"/>
          <w:sz w:val="20"/>
        </w:rPr>
        <w:t xml:space="preserve"> Phone: </w:t>
      </w:r>
      <w:hyperlink r:id="rId11" w:history="1">
        <w:r w:rsidRPr="00D7320B">
          <w:rPr>
            <w:rFonts w:ascii="Times New Roman" w:hAnsi="Times New Roman" w:cs="Times New Roman"/>
            <w:sz w:val="20"/>
          </w:rPr>
          <w:t>+86.22.24408671</w:t>
        </w:r>
      </w:hyperlink>
      <w:r w:rsidRPr="00D7320B">
        <w:rPr>
          <w:rFonts w:ascii="Times New Roman" w:hAnsi="Times New Roman" w:cs="Times New Roman"/>
          <w:sz w:val="20"/>
        </w:rPr>
        <w:t>, e</w:t>
      </w:r>
      <w:r w:rsidRPr="00D7320B">
        <w:rPr>
          <w:rFonts w:ascii="Times New Roman" w:hAnsi="Times New Roman" w:cs="Times New Roman"/>
          <w:sz w:val="20"/>
        </w:rPr>
        <w:t>mail:</w:t>
      </w:r>
      <w:r w:rsidRPr="00D7320B">
        <w:rPr>
          <w:rStyle w:val="Hyperlink"/>
          <w:rFonts w:ascii="Times New Roman" w:hAnsi="Times New Roman" w:cs="Times New Roman"/>
          <w:sz w:val="20"/>
        </w:rPr>
        <w:t> </w:t>
      </w:r>
      <w:hyperlink r:id="rId12" w:tgtFrame="_blank" w:history="1">
        <w:r w:rsidRPr="00D7320B">
          <w:rPr>
            <w:rStyle w:val="Hyperlink"/>
            <w:rFonts w:ascii="Times New Roman" w:hAnsi="Times New Roman" w:cs="Times New Roman"/>
            <w:sz w:val="20"/>
          </w:rPr>
          <w:t>jackzhangua@sina.com</w:t>
        </w:r>
      </w:hyperlink>
    </w:p>
    <w:p w14:paraId="1692DE96" w14:textId="77777777" w:rsidR="00D34F8D" w:rsidRDefault="00D34F8D" w:rsidP="00896FC5">
      <w:pPr>
        <w:jc w:val="right"/>
        <w:rPr>
          <w:rStyle w:val="Hyperlink"/>
          <w:rFonts w:ascii="Times New Roman" w:hAnsi="Times New Roman" w:cs="Times New Roman"/>
          <w:sz w:val="20"/>
        </w:rPr>
      </w:pPr>
      <w:r w:rsidRPr="00D34F8D">
        <w:rPr>
          <w:rFonts w:ascii="Times New Roman" w:hAnsi="Times New Roman" w:cs="Times New Roman"/>
          <w:sz w:val="20"/>
        </w:rPr>
        <w:t xml:space="preserve">Chris Marnay, Lawrence Berkeley National Laboratory, Phone: +1 510 486 7028, Email: </w:t>
      </w:r>
      <w:hyperlink r:id="rId13" w:history="1">
        <w:r w:rsidRPr="00D34F8D">
          <w:rPr>
            <w:rStyle w:val="Hyperlink"/>
            <w:rFonts w:ascii="Times New Roman" w:hAnsi="Times New Roman" w:cs="Times New Roman"/>
            <w:sz w:val="20"/>
          </w:rPr>
          <w:t>ChrisMarnay@lbl.gov</w:t>
        </w:r>
      </w:hyperlink>
      <w:r w:rsidRPr="00D34F8D">
        <w:rPr>
          <w:rStyle w:val="Hyperlink"/>
          <w:rFonts w:ascii="Times New Roman" w:hAnsi="Times New Roman" w:cs="Times New Roman"/>
          <w:sz w:val="20"/>
        </w:rPr>
        <w:t xml:space="preserve"> </w:t>
      </w:r>
    </w:p>
    <w:p w14:paraId="1B71CB5B" w14:textId="77777777" w:rsidR="00DC0617" w:rsidRDefault="00DC0617" w:rsidP="00DC0617">
      <w:pPr>
        <w:pStyle w:val="Heading2"/>
        <w:spacing w:before="240" w:after="60"/>
        <w:ind w:left="-810" w:firstLine="810"/>
        <w:rPr>
          <w:b w:val="0"/>
          <w:iCs/>
          <w:color w:val="3366FF"/>
        </w:rPr>
      </w:pPr>
      <w:r w:rsidRPr="00BA49A7">
        <w:rPr>
          <w:rFonts w:ascii="Arial" w:hAnsi="Arial"/>
          <w:bCs w:val="0"/>
          <w:lang w:val="en-GB"/>
        </w:rPr>
        <w:t xml:space="preserve">Overview </w:t>
      </w:r>
      <w:r w:rsidRPr="00B0439F">
        <w:rPr>
          <w:iCs/>
          <w:color w:val="3366FF"/>
        </w:rPr>
        <w:tab/>
      </w:r>
      <w:bookmarkStart w:id="0" w:name="_GoBack"/>
      <w:bookmarkEnd w:id="0"/>
    </w:p>
    <w:p w14:paraId="779311A3" w14:textId="77777777" w:rsidR="00A45031" w:rsidRPr="0042011B" w:rsidRDefault="00E44A94">
      <w:pPr>
        <w:rPr>
          <w:rFonts w:ascii="Times New Roman" w:hAnsi="Times New Roman" w:cs="Times New Roman"/>
          <w:sz w:val="20"/>
          <w:szCs w:val="23"/>
        </w:rPr>
      </w:pPr>
      <w:r w:rsidRPr="0042011B">
        <w:rPr>
          <w:rFonts w:ascii="Times New Roman" w:hAnsi="Times New Roman" w:cs="Times New Roman"/>
          <w:sz w:val="20"/>
          <w:szCs w:val="23"/>
        </w:rPr>
        <w:t xml:space="preserve">Early in this century, it became clear that the technology embedded in the developed world’s electricity supply system had become seriously inadequate to cope with the challenges that we are facing today, and to generally meet rising expectations for grid performance, often assumed necessary to support the emerging </w:t>
      </w:r>
      <w:r w:rsidRPr="0042011B">
        <w:rPr>
          <w:rFonts w:ascii="Times New Roman" w:hAnsi="Times New Roman" w:cs="Times New Roman"/>
          <w:i/>
          <w:sz w:val="20"/>
          <w:szCs w:val="23"/>
        </w:rPr>
        <w:t>digital economy</w:t>
      </w:r>
      <w:r w:rsidRPr="0042011B">
        <w:rPr>
          <w:rFonts w:ascii="Times New Roman" w:hAnsi="Times New Roman" w:cs="Times New Roman"/>
          <w:sz w:val="20"/>
          <w:szCs w:val="23"/>
        </w:rPr>
        <w:t xml:space="preserve"> (Tapscott, 1995). </w:t>
      </w:r>
      <w:r w:rsidRPr="0042011B">
        <w:rPr>
          <w:rFonts w:ascii="Times New Roman" w:hAnsi="Times New Roman" w:cs="Times New Roman"/>
          <w:i/>
          <w:sz w:val="20"/>
          <w:szCs w:val="23"/>
        </w:rPr>
        <w:t>Smart Grid</w:t>
      </w:r>
      <w:r w:rsidRPr="0042011B">
        <w:rPr>
          <w:rFonts w:ascii="Times New Roman" w:hAnsi="Times New Roman" w:cs="Times New Roman"/>
          <w:sz w:val="20"/>
          <w:szCs w:val="23"/>
        </w:rPr>
        <w:t xml:space="preserve"> emerged as an umbrella term to describe a number of technologies that had mostly already been proposed or actually developed separately, but which had failed to gain broad deployment. The notable example is advanced metering infrastructure (AMI), whose capabilities had been recognized as necessary for several decades. </w:t>
      </w:r>
      <w:r w:rsidR="00A16959">
        <w:rPr>
          <w:rFonts w:ascii="Times New Roman" w:hAnsi="Times New Roman" w:cs="Times New Roman"/>
          <w:sz w:val="20"/>
          <w:szCs w:val="23"/>
        </w:rPr>
        <w:t>The motivations for smart grid</w:t>
      </w:r>
      <w:r w:rsidRPr="0042011B">
        <w:rPr>
          <w:rFonts w:ascii="Times New Roman" w:hAnsi="Times New Roman" w:cs="Times New Roman"/>
          <w:sz w:val="20"/>
          <w:szCs w:val="23"/>
        </w:rPr>
        <w:t xml:space="preserve"> can be box</w:t>
      </w:r>
      <w:r w:rsidR="00695E5F">
        <w:rPr>
          <w:rFonts w:ascii="Times New Roman" w:hAnsi="Times New Roman" w:cs="Times New Roman"/>
          <w:sz w:val="20"/>
          <w:szCs w:val="23"/>
        </w:rPr>
        <w:t xml:space="preserve">ed into three types. The first </w:t>
      </w:r>
      <w:r w:rsidRPr="0042011B">
        <w:rPr>
          <w:rFonts w:ascii="Times New Roman" w:hAnsi="Times New Roman" w:cs="Times New Roman"/>
          <w:sz w:val="20"/>
          <w:szCs w:val="23"/>
        </w:rPr>
        <w:t>involves establishing an appropriate AMI infrastr</w:t>
      </w:r>
      <w:r w:rsidR="00A16959">
        <w:rPr>
          <w:rFonts w:ascii="Times New Roman" w:hAnsi="Times New Roman" w:cs="Times New Roman"/>
          <w:sz w:val="20"/>
          <w:szCs w:val="23"/>
        </w:rPr>
        <w:t>ucture to enable price-elastic</w:t>
      </w:r>
      <w:r w:rsidRPr="0042011B">
        <w:rPr>
          <w:rFonts w:ascii="Times New Roman" w:hAnsi="Times New Roman" w:cs="Times New Roman"/>
          <w:sz w:val="20"/>
          <w:szCs w:val="23"/>
        </w:rPr>
        <w:t xml:space="preserve"> demand, and hence an efficient market. The second concerns improved operation o</w:t>
      </w:r>
      <w:r w:rsidR="00A16959">
        <w:rPr>
          <w:rFonts w:ascii="Times New Roman" w:hAnsi="Times New Roman" w:cs="Times New Roman"/>
          <w:sz w:val="20"/>
          <w:szCs w:val="23"/>
        </w:rPr>
        <w:t>f the legacy centralized grid. And t</w:t>
      </w:r>
      <w:r w:rsidRPr="0042011B">
        <w:rPr>
          <w:rFonts w:ascii="Times New Roman" w:hAnsi="Times New Roman" w:cs="Times New Roman"/>
          <w:sz w:val="20"/>
          <w:szCs w:val="23"/>
        </w:rPr>
        <w:t>he third, and perhaps most radical</w:t>
      </w:r>
      <w:r w:rsidR="00A16959">
        <w:rPr>
          <w:rFonts w:ascii="Times New Roman" w:hAnsi="Times New Roman" w:cs="Times New Roman"/>
          <w:sz w:val="20"/>
          <w:szCs w:val="23"/>
        </w:rPr>
        <w:t>,</w:t>
      </w:r>
      <w:r w:rsidRPr="0042011B">
        <w:rPr>
          <w:rFonts w:ascii="Times New Roman" w:hAnsi="Times New Roman" w:cs="Times New Roman"/>
          <w:sz w:val="20"/>
          <w:szCs w:val="23"/>
        </w:rPr>
        <w:t xml:space="preserve"> leg of the smart grid stool is decentralized control of the power system, i.e. microgrids and community power (Marnay and Lai, 2012). </w:t>
      </w:r>
    </w:p>
    <w:p w14:paraId="6018812A" w14:textId="22B2B64B" w:rsidR="00E41E1F" w:rsidRPr="0042011B" w:rsidRDefault="00E44A94" w:rsidP="00E44A94">
      <w:pPr>
        <w:rPr>
          <w:rFonts w:ascii="Times New Roman" w:hAnsi="Times New Roman" w:cs="Times New Roman"/>
          <w:sz w:val="20"/>
          <w:szCs w:val="23"/>
        </w:rPr>
      </w:pPr>
      <w:r w:rsidRPr="0042011B">
        <w:rPr>
          <w:rFonts w:ascii="Times New Roman" w:hAnsi="Times New Roman" w:cs="Times New Roman"/>
          <w:sz w:val="20"/>
          <w:szCs w:val="23"/>
        </w:rPr>
        <w:t>Given the substantial investments required</w:t>
      </w:r>
      <w:r w:rsidR="00A16959">
        <w:rPr>
          <w:rFonts w:ascii="Times New Roman" w:hAnsi="Times New Roman" w:cs="Times New Roman"/>
          <w:sz w:val="20"/>
          <w:szCs w:val="23"/>
        </w:rPr>
        <w:t>, there has been</w:t>
      </w:r>
      <w:r w:rsidRPr="0042011B">
        <w:rPr>
          <w:rFonts w:ascii="Times New Roman" w:hAnsi="Times New Roman" w:cs="Times New Roman"/>
          <w:sz w:val="20"/>
          <w:szCs w:val="23"/>
        </w:rPr>
        <w:t xml:space="preserve"> keen interest in </w:t>
      </w:r>
      <w:r w:rsidR="00A16959">
        <w:rPr>
          <w:rFonts w:ascii="Times New Roman" w:hAnsi="Times New Roman" w:cs="Times New Roman"/>
          <w:sz w:val="20"/>
          <w:szCs w:val="23"/>
        </w:rPr>
        <w:t xml:space="preserve">benefit cost analysis, </w:t>
      </w:r>
      <w:r w:rsidRPr="0042011B">
        <w:rPr>
          <w:rFonts w:ascii="Times New Roman" w:hAnsi="Times New Roman" w:cs="Times New Roman"/>
          <w:sz w:val="20"/>
          <w:szCs w:val="23"/>
        </w:rPr>
        <w:t>i.e., quantifying and monetizing the perform</w:t>
      </w:r>
      <w:r w:rsidR="00A16959">
        <w:rPr>
          <w:rFonts w:ascii="Times New Roman" w:hAnsi="Times New Roman" w:cs="Times New Roman"/>
          <w:sz w:val="20"/>
          <w:szCs w:val="23"/>
        </w:rPr>
        <w:t>ance of smart grid technologies</w:t>
      </w:r>
      <w:r w:rsidRPr="0042011B">
        <w:rPr>
          <w:rFonts w:ascii="Times New Roman" w:hAnsi="Times New Roman" w:cs="Times New Roman"/>
          <w:sz w:val="20"/>
          <w:szCs w:val="23"/>
        </w:rPr>
        <w:t>. Analysi</w:t>
      </w:r>
      <w:r w:rsidR="00A16959">
        <w:rPr>
          <w:rFonts w:ascii="Times New Roman" w:hAnsi="Times New Roman" w:cs="Times New Roman"/>
          <w:sz w:val="20"/>
          <w:szCs w:val="23"/>
        </w:rPr>
        <w:t>s to calculate and publicize these</w:t>
      </w:r>
      <w:r w:rsidRPr="0042011B">
        <w:rPr>
          <w:rFonts w:ascii="Times New Roman" w:hAnsi="Times New Roman" w:cs="Times New Roman"/>
          <w:sz w:val="20"/>
          <w:szCs w:val="23"/>
        </w:rPr>
        <w:t xml:space="preserve"> </w:t>
      </w:r>
      <w:r w:rsidR="00A16959">
        <w:rPr>
          <w:rFonts w:ascii="Times New Roman" w:hAnsi="Times New Roman" w:cs="Times New Roman"/>
          <w:sz w:val="20"/>
          <w:szCs w:val="23"/>
        </w:rPr>
        <w:t>results</w:t>
      </w:r>
      <w:r w:rsidRPr="0042011B">
        <w:rPr>
          <w:rFonts w:ascii="Times New Roman" w:hAnsi="Times New Roman" w:cs="Times New Roman"/>
          <w:sz w:val="20"/>
          <w:szCs w:val="23"/>
        </w:rPr>
        <w:t xml:space="preserve"> </w:t>
      </w:r>
      <w:r w:rsidR="00A16959">
        <w:rPr>
          <w:rFonts w:ascii="Times New Roman" w:hAnsi="Times New Roman" w:cs="Times New Roman"/>
          <w:sz w:val="20"/>
          <w:szCs w:val="23"/>
        </w:rPr>
        <w:t>has been a central objective in many jurisdictions. S</w:t>
      </w:r>
      <w:r w:rsidRPr="0042011B">
        <w:rPr>
          <w:rFonts w:ascii="Times New Roman" w:hAnsi="Times New Roman" w:cs="Times New Roman"/>
          <w:sz w:val="20"/>
          <w:szCs w:val="23"/>
        </w:rPr>
        <w:t xml:space="preserve">mart grid projects are typically characterized by high initial costs and </w:t>
      </w:r>
      <w:r w:rsidR="00A16959" w:rsidRPr="0042011B">
        <w:rPr>
          <w:rFonts w:ascii="Times New Roman" w:hAnsi="Times New Roman" w:cs="Times New Roman"/>
          <w:sz w:val="20"/>
          <w:szCs w:val="23"/>
        </w:rPr>
        <w:t xml:space="preserve">uncertain </w:t>
      </w:r>
      <w:r w:rsidRPr="0042011B">
        <w:rPr>
          <w:rFonts w:ascii="Times New Roman" w:hAnsi="Times New Roman" w:cs="Times New Roman"/>
          <w:sz w:val="20"/>
          <w:szCs w:val="23"/>
        </w:rPr>
        <w:t xml:space="preserve">benefit streams </w:t>
      </w:r>
      <w:r w:rsidR="00A16959">
        <w:rPr>
          <w:rFonts w:ascii="Times New Roman" w:hAnsi="Times New Roman" w:cs="Times New Roman"/>
          <w:sz w:val="20"/>
          <w:szCs w:val="23"/>
        </w:rPr>
        <w:t>over the long-</w:t>
      </w:r>
      <w:r w:rsidRPr="0042011B">
        <w:rPr>
          <w:rFonts w:ascii="Times New Roman" w:hAnsi="Times New Roman" w:cs="Times New Roman"/>
          <w:sz w:val="20"/>
          <w:szCs w:val="23"/>
        </w:rPr>
        <w:t xml:space="preserve">term. </w:t>
      </w:r>
      <w:r w:rsidR="00A16959">
        <w:rPr>
          <w:rFonts w:ascii="Times New Roman" w:hAnsi="Times New Roman" w:cs="Times New Roman"/>
          <w:sz w:val="20"/>
          <w:szCs w:val="23"/>
        </w:rPr>
        <w:t>M</w:t>
      </w:r>
      <w:r w:rsidRPr="0042011B">
        <w:rPr>
          <w:rFonts w:ascii="Times New Roman" w:hAnsi="Times New Roman" w:cs="Times New Roman"/>
          <w:sz w:val="20"/>
          <w:szCs w:val="23"/>
        </w:rPr>
        <w:t xml:space="preserve">aking a decision </w:t>
      </w:r>
      <w:r w:rsidR="00A16959">
        <w:rPr>
          <w:rFonts w:ascii="Times New Roman" w:hAnsi="Times New Roman" w:cs="Times New Roman"/>
          <w:sz w:val="20"/>
          <w:szCs w:val="23"/>
        </w:rPr>
        <w:t>with</w:t>
      </w:r>
      <w:r w:rsidRPr="0042011B">
        <w:rPr>
          <w:rFonts w:ascii="Times New Roman" w:hAnsi="Times New Roman" w:cs="Times New Roman"/>
          <w:sz w:val="20"/>
          <w:szCs w:val="23"/>
        </w:rPr>
        <w:t xml:space="preserve"> long-term implications requires a thorough understanding of likely or possible future situations and also the ability to balance a large number of controllable and uncontrollable parameters</w:t>
      </w:r>
      <w:r w:rsidR="00BD4E93" w:rsidRPr="0042011B">
        <w:rPr>
          <w:rFonts w:ascii="Times New Roman" w:hAnsi="Times New Roman" w:cs="Times New Roman"/>
          <w:sz w:val="20"/>
          <w:szCs w:val="23"/>
        </w:rPr>
        <w:t xml:space="preserve"> (Bhushan and Rai, 2009)</w:t>
      </w:r>
      <w:r w:rsidRPr="0042011B">
        <w:rPr>
          <w:rFonts w:ascii="Times New Roman" w:hAnsi="Times New Roman" w:cs="Times New Roman"/>
          <w:sz w:val="20"/>
          <w:szCs w:val="23"/>
        </w:rPr>
        <w:t xml:space="preserve">. Thus, there is a need for common method development and application. In this study, we compare </w:t>
      </w:r>
      <w:r w:rsidR="00DC0617" w:rsidRPr="0042011B">
        <w:rPr>
          <w:rFonts w:ascii="Times New Roman" w:hAnsi="Times New Roman" w:cs="Times New Roman"/>
          <w:sz w:val="20"/>
          <w:szCs w:val="23"/>
        </w:rPr>
        <w:t xml:space="preserve">two different approaches; (1) </w:t>
      </w:r>
      <w:r w:rsidR="00241AA4" w:rsidRPr="00241AA4">
        <w:rPr>
          <w:rFonts w:ascii="Times New Roman" w:hAnsi="Times New Roman" w:cs="Times New Roman"/>
          <w:sz w:val="20"/>
          <w:szCs w:val="23"/>
        </w:rPr>
        <w:t>Electric Power Research Institute (EPRI)</w:t>
      </w:r>
      <w:r w:rsidR="00DC0617" w:rsidRPr="0042011B">
        <w:rPr>
          <w:rFonts w:ascii="Times New Roman" w:hAnsi="Times New Roman" w:cs="Times New Roman"/>
          <w:sz w:val="20"/>
          <w:szCs w:val="23"/>
        </w:rPr>
        <w:t xml:space="preserve">’s </w:t>
      </w:r>
      <w:r w:rsidR="00241AA4">
        <w:rPr>
          <w:rFonts w:ascii="Times New Roman" w:hAnsi="Times New Roman" w:cs="Times New Roman"/>
          <w:sz w:val="20"/>
          <w:szCs w:val="23"/>
        </w:rPr>
        <w:t xml:space="preserve">benefit-cost </w:t>
      </w:r>
      <w:r w:rsidR="00695E5F">
        <w:rPr>
          <w:rFonts w:ascii="Times New Roman" w:hAnsi="Times New Roman" w:cs="Times New Roman"/>
          <w:sz w:val="20"/>
          <w:szCs w:val="23"/>
        </w:rPr>
        <w:t xml:space="preserve">(B-C) </w:t>
      </w:r>
      <w:r w:rsidR="00241AA4">
        <w:rPr>
          <w:rFonts w:ascii="Times New Roman" w:hAnsi="Times New Roman" w:cs="Times New Roman"/>
          <w:sz w:val="20"/>
          <w:szCs w:val="23"/>
        </w:rPr>
        <w:t>analysis</w:t>
      </w:r>
      <w:r w:rsidR="00DC0617" w:rsidRPr="0042011B">
        <w:rPr>
          <w:rFonts w:ascii="Times New Roman" w:hAnsi="Times New Roman" w:cs="Times New Roman"/>
          <w:sz w:val="20"/>
          <w:szCs w:val="23"/>
        </w:rPr>
        <w:t xml:space="preserve"> method, </w:t>
      </w:r>
      <w:r w:rsidR="000623B7">
        <w:rPr>
          <w:rFonts w:ascii="Times New Roman" w:hAnsi="Times New Roman" w:cs="Times New Roman"/>
          <w:sz w:val="20"/>
          <w:szCs w:val="23"/>
        </w:rPr>
        <w:t xml:space="preserve">and </w:t>
      </w:r>
      <w:r w:rsidR="00DC0617" w:rsidRPr="0042011B">
        <w:rPr>
          <w:rFonts w:ascii="Times New Roman" w:hAnsi="Times New Roman" w:cs="Times New Roman"/>
          <w:sz w:val="20"/>
          <w:szCs w:val="23"/>
        </w:rPr>
        <w:t>(2)</w:t>
      </w:r>
      <w:r w:rsidR="000623B7">
        <w:rPr>
          <w:rFonts w:ascii="Times New Roman" w:hAnsi="Times New Roman" w:cs="Times New Roman"/>
          <w:sz w:val="20"/>
          <w:szCs w:val="23"/>
        </w:rPr>
        <w:t xml:space="preserve"> the</w:t>
      </w:r>
      <w:r w:rsidR="00DC0617" w:rsidRPr="0042011B">
        <w:rPr>
          <w:rFonts w:ascii="Times New Roman" w:hAnsi="Times New Roman" w:cs="Times New Roman"/>
          <w:sz w:val="20"/>
          <w:szCs w:val="23"/>
        </w:rPr>
        <w:t xml:space="preserve"> </w:t>
      </w:r>
      <w:r w:rsidR="00241AA4">
        <w:rPr>
          <w:rFonts w:ascii="Times New Roman" w:hAnsi="Times New Roman" w:cs="Times New Roman"/>
          <w:sz w:val="20"/>
          <w:szCs w:val="23"/>
        </w:rPr>
        <w:t>Analytic Hierarchy Process (</w:t>
      </w:r>
      <w:r w:rsidR="00DC0617" w:rsidRPr="0042011B">
        <w:rPr>
          <w:rFonts w:ascii="Times New Roman" w:hAnsi="Times New Roman" w:cs="Times New Roman"/>
          <w:sz w:val="20"/>
          <w:szCs w:val="23"/>
        </w:rPr>
        <w:t>AHP</w:t>
      </w:r>
      <w:r w:rsidR="00241AA4">
        <w:rPr>
          <w:rFonts w:ascii="Times New Roman" w:hAnsi="Times New Roman" w:cs="Times New Roman"/>
          <w:sz w:val="20"/>
          <w:szCs w:val="23"/>
        </w:rPr>
        <w:t>)</w:t>
      </w:r>
      <w:r w:rsidR="00695E5F">
        <w:rPr>
          <w:rFonts w:ascii="Times New Roman" w:hAnsi="Times New Roman" w:cs="Times New Roman"/>
          <w:sz w:val="20"/>
          <w:szCs w:val="23"/>
        </w:rPr>
        <w:t xml:space="preserve"> decision making</w:t>
      </w:r>
      <w:r w:rsidR="00DC0617" w:rsidRPr="0042011B">
        <w:rPr>
          <w:rFonts w:ascii="Times New Roman" w:hAnsi="Times New Roman" w:cs="Times New Roman"/>
          <w:sz w:val="20"/>
          <w:szCs w:val="23"/>
        </w:rPr>
        <w:t xml:space="preserve"> method</w:t>
      </w:r>
      <w:r w:rsidR="000623B7">
        <w:rPr>
          <w:rFonts w:ascii="Times New Roman" w:hAnsi="Times New Roman" w:cs="Times New Roman"/>
          <w:sz w:val="20"/>
          <w:szCs w:val="23"/>
        </w:rPr>
        <w:t>. These are applied</w:t>
      </w:r>
      <w:r w:rsidR="00695E5F">
        <w:rPr>
          <w:rFonts w:ascii="Times New Roman" w:hAnsi="Times New Roman" w:cs="Times New Roman"/>
          <w:sz w:val="20"/>
          <w:szCs w:val="23"/>
        </w:rPr>
        <w:t xml:space="preserve"> </w:t>
      </w:r>
      <w:r w:rsidR="000623B7">
        <w:rPr>
          <w:rFonts w:ascii="Times New Roman" w:hAnsi="Times New Roman" w:cs="Times New Roman"/>
          <w:sz w:val="20"/>
          <w:szCs w:val="23"/>
        </w:rPr>
        <w:t>to</w:t>
      </w:r>
      <w:r w:rsidR="00054BF5">
        <w:rPr>
          <w:rFonts w:ascii="Times New Roman" w:hAnsi="Times New Roman" w:cs="Times New Roman"/>
          <w:sz w:val="20"/>
          <w:szCs w:val="23"/>
        </w:rPr>
        <w:t xml:space="preserve"> three case study projects</w:t>
      </w:r>
      <w:r w:rsidR="00DC0617" w:rsidRPr="0042011B">
        <w:rPr>
          <w:rFonts w:ascii="Times New Roman" w:hAnsi="Times New Roman" w:cs="Times New Roman"/>
          <w:sz w:val="20"/>
          <w:szCs w:val="23"/>
        </w:rPr>
        <w:t xml:space="preserve"> </w:t>
      </w:r>
      <w:r w:rsidR="00241AA4">
        <w:rPr>
          <w:rFonts w:ascii="Times New Roman" w:hAnsi="Times New Roman" w:cs="Times New Roman"/>
          <w:sz w:val="20"/>
          <w:szCs w:val="23"/>
        </w:rPr>
        <w:t>executed</w:t>
      </w:r>
      <w:r w:rsidR="00DC0617" w:rsidRPr="0042011B">
        <w:rPr>
          <w:rFonts w:ascii="Times New Roman" w:hAnsi="Times New Roman" w:cs="Times New Roman"/>
          <w:sz w:val="20"/>
          <w:szCs w:val="23"/>
        </w:rPr>
        <w:t xml:space="preserve"> in three different countries; </w:t>
      </w:r>
      <w:r w:rsidR="00054BF5">
        <w:rPr>
          <w:rFonts w:ascii="Times New Roman" w:hAnsi="Times New Roman" w:cs="Times New Roman"/>
          <w:sz w:val="20"/>
          <w:szCs w:val="23"/>
        </w:rPr>
        <w:t>the U.S.</w:t>
      </w:r>
      <w:r w:rsidR="00DC0617" w:rsidRPr="0042011B">
        <w:rPr>
          <w:rFonts w:ascii="Times New Roman" w:hAnsi="Times New Roman" w:cs="Times New Roman"/>
          <w:sz w:val="20"/>
          <w:szCs w:val="23"/>
        </w:rPr>
        <w:t xml:space="preserve">, </w:t>
      </w:r>
      <w:r w:rsidR="000623B7" w:rsidRPr="0042011B">
        <w:rPr>
          <w:rFonts w:ascii="Times New Roman" w:hAnsi="Times New Roman" w:cs="Times New Roman"/>
          <w:sz w:val="20"/>
          <w:szCs w:val="23"/>
        </w:rPr>
        <w:t xml:space="preserve">China, </w:t>
      </w:r>
      <w:r w:rsidR="000623B7">
        <w:rPr>
          <w:rFonts w:ascii="Times New Roman" w:hAnsi="Times New Roman" w:cs="Times New Roman"/>
          <w:sz w:val="20"/>
          <w:szCs w:val="23"/>
        </w:rPr>
        <w:t xml:space="preserve">and </w:t>
      </w:r>
      <w:r w:rsidR="00DC0617" w:rsidRPr="0042011B">
        <w:rPr>
          <w:rFonts w:ascii="Times New Roman" w:hAnsi="Times New Roman" w:cs="Times New Roman"/>
          <w:sz w:val="20"/>
          <w:szCs w:val="23"/>
        </w:rPr>
        <w:t>Italy</w:t>
      </w:r>
      <w:r w:rsidR="00054BF5">
        <w:rPr>
          <w:rFonts w:ascii="Times New Roman" w:hAnsi="Times New Roman" w:cs="Times New Roman"/>
          <w:sz w:val="20"/>
          <w:szCs w:val="23"/>
        </w:rPr>
        <w:t>,</w:t>
      </w:r>
      <w:r w:rsidR="00DC0617" w:rsidRPr="0042011B">
        <w:rPr>
          <w:rFonts w:ascii="Times New Roman" w:hAnsi="Times New Roman" w:cs="Times New Roman"/>
          <w:sz w:val="20"/>
          <w:szCs w:val="23"/>
        </w:rPr>
        <w:t xml:space="preserve"> </w:t>
      </w:r>
      <w:r w:rsidR="00054BF5">
        <w:rPr>
          <w:rFonts w:ascii="Times New Roman" w:hAnsi="Times New Roman" w:cs="Times New Roman"/>
          <w:sz w:val="20"/>
          <w:szCs w:val="23"/>
        </w:rPr>
        <w:t>considering</w:t>
      </w:r>
      <w:r w:rsidR="00DC0617" w:rsidRPr="0042011B">
        <w:rPr>
          <w:rFonts w:ascii="Times New Roman" w:hAnsi="Times New Roman" w:cs="Times New Roman"/>
          <w:sz w:val="20"/>
          <w:szCs w:val="23"/>
        </w:rPr>
        <w:t xml:space="preserve"> uncertainty</w:t>
      </w:r>
      <w:r w:rsidR="00704C21" w:rsidRPr="0042011B">
        <w:rPr>
          <w:rFonts w:ascii="Times New Roman" w:hAnsi="Times New Roman" w:cs="Times New Roman"/>
          <w:sz w:val="20"/>
          <w:szCs w:val="23"/>
        </w:rPr>
        <w:t xml:space="preserve"> </w:t>
      </w:r>
      <w:r w:rsidR="00054BF5">
        <w:rPr>
          <w:rFonts w:ascii="Times New Roman" w:hAnsi="Times New Roman" w:cs="Times New Roman"/>
          <w:sz w:val="20"/>
          <w:szCs w:val="23"/>
        </w:rPr>
        <w:t>in each case</w:t>
      </w:r>
      <w:r w:rsidR="00DC0617" w:rsidRPr="0042011B">
        <w:rPr>
          <w:rFonts w:ascii="Times New Roman" w:hAnsi="Times New Roman" w:cs="Times New Roman"/>
          <w:sz w:val="20"/>
          <w:szCs w:val="23"/>
        </w:rPr>
        <w:t>.</w:t>
      </w:r>
      <w:r w:rsidR="00E41E1F" w:rsidRPr="0042011B">
        <w:rPr>
          <w:rFonts w:ascii="Times New Roman" w:hAnsi="Times New Roman" w:cs="Times New Roman"/>
          <w:sz w:val="20"/>
          <w:szCs w:val="23"/>
        </w:rPr>
        <w:t xml:space="preserve"> </w:t>
      </w:r>
      <w:r w:rsidR="00E41E1F" w:rsidRPr="00054BF5">
        <w:rPr>
          <w:rFonts w:ascii="Times New Roman" w:hAnsi="Times New Roman" w:cs="Times New Roman"/>
          <w:sz w:val="20"/>
          <w:szCs w:val="23"/>
        </w:rPr>
        <w:t xml:space="preserve">This work is conducted </w:t>
      </w:r>
      <w:r w:rsidR="00035A81" w:rsidRPr="00054BF5">
        <w:rPr>
          <w:rFonts w:ascii="Times New Roman" w:hAnsi="Times New Roman" w:cs="Times New Roman"/>
          <w:sz w:val="20"/>
          <w:szCs w:val="23"/>
        </w:rPr>
        <w:t>under</w:t>
      </w:r>
      <w:r w:rsidR="00054BF5" w:rsidRPr="00054BF5">
        <w:rPr>
          <w:rFonts w:ascii="Times New Roman" w:hAnsi="Times New Roman" w:cs="Times New Roman"/>
          <w:sz w:val="20"/>
          <w:szCs w:val="23"/>
        </w:rPr>
        <w:t xml:space="preserve"> the </w:t>
      </w:r>
      <w:r w:rsidR="00035A81" w:rsidRPr="00054BF5">
        <w:rPr>
          <w:rFonts w:ascii="Times New Roman" w:hAnsi="Times New Roman" w:cs="Times New Roman"/>
          <w:sz w:val="20"/>
          <w:szCs w:val="23"/>
        </w:rPr>
        <w:t>U.S.</w:t>
      </w:r>
      <w:r w:rsidR="00054BF5" w:rsidRPr="00054BF5">
        <w:rPr>
          <w:rFonts w:ascii="Times New Roman" w:hAnsi="Times New Roman" w:cs="Times New Roman"/>
          <w:sz w:val="20"/>
          <w:szCs w:val="23"/>
        </w:rPr>
        <w:t>-China Climate Change Working Group</w:t>
      </w:r>
      <w:r w:rsidR="00054BF5">
        <w:rPr>
          <w:rFonts w:ascii="Times New Roman" w:hAnsi="Times New Roman" w:cs="Times New Roman"/>
          <w:sz w:val="20"/>
          <w:szCs w:val="23"/>
        </w:rPr>
        <w:t>,</w:t>
      </w:r>
      <w:r w:rsidR="00054BF5" w:rsidRPr="00054BF5">
        <w:rPr>
          <w:rFonts w:ascii="Times New Roman" w:hAnsi="Times New Roman" w:cs="Times New Roman"/>
          <w:sz w:val="20"/>
          <w:szCs w:val="23"/>
        </w:rPr>
        <w:t xml:space="preserve"> Smart Grid,</w:t>
      </w:r>
      <w:r w:rsidR="00035A81" w:rsidRPr="00054BF5">
        <w:rPr>
          <w:rFonts w:ascii="Times New Roman" w:hAnsi="Times New Roman" w:cs="Times New Roman"/>
          <w:sz w:val="20"/>
          <w:szCs w:val="23"/>
        </w:rPr>
        <w:t xml:space="preserve"> </w:t>
      </w:r>
      <w:r w:rsidR="00054BF5" w:rsidRPr="00054BF5">
        <w:rPr>
          <w:rFonts w:ascii="Times New Roman" w:hAnsi="Times New Roman" w:cs="Times New Roman"/>
          <w:sz w:val="20"/>
          <w:szCs w:val="23"/>
        </w:rPr>
        <w:t>with an additional contribution by</w:t>
      </w:r>
      <w:r w:rsidR="00E41E1F" w:rsidRPr="00054BF5">
        <w:rPr>
          <w:rFonts w:ascii="Times New Roman" w:hAnsi="Times New Roman" w:cs="Times New Roman"/>
          <w:sz w:val="20"/>
          <w:szCs w:val="23"/>
        </w:rPr>
        <w:t xml:space="preserve"> the European Commission</w:t>
      </w:r>
      <w:r w:rsidR="00054BF5" w:rsidRPr="00054BF5">
        <w:rPr>
          <w:rFonts w:ascii="Times New Roman" w:hAnsi="Times New Roman" w:cs="Times New Roman"/>
          <w:sz w:val="20"/>
          <w:szCs w:val="23"/>
        </w:rPr>
        <w:t>.</w:t>
      </w:r>
    </w:p>
    <w:p w14:paraId="27201847" w14:textId="77777777" w:rsidR="00DC0617" w:rsidRPr="00BA49A7" w:rsidRDefault="00DC0617" w:rsidP="00DC0617">
      <w:pPr>
        <w:pStyle w:val="Heading2"/>
        <w:spacing w:before="240" w:after="60"/>
        <w:ind w:left="-810" w:firstLine="810"/>
        <w:rPr>
          <w:rFonts w:ascii="Arial" w:hAnsi="Arial"/>
          <w:bCs w:val="0"/>
          <w:lang w:val="en-GB"/>
        </w:rPr>
      </w:pPr>
      <w:r w:rsidRPr="00BA49A7">
        <w:rPr>
          <w:rFonts w:ascii="Arial" w:hAnsi="Arial"/>
          <w:bCs w:val="0"/>
          <w:lang w:val="en-GB"/>
        </w:rPr>
        <w:t>Methods</w:t>
      </w:r>
    </w:p>
    <w:p w14:paraId="1550247A" w14:textId="5AF2D733" w:rsidR="00704C21" w:rsidRPr="0042011B" w:rsidRDefault="00054BF5" w:rsidP="00E44A94">
      <w:pPr>
        <w:rPr>
          <w:rFonts w:ascii="Times New Roman" w:eastAsia="Times New Roman" w:hAnsi="Times New Roman" w:cs="Times New Roman"/>
          <w:color w:val="000000"/>
          <w:sz w:val="20"/>
          <w:lang w:eastAsia="zh-CN"/>
        </w:rPr>
      </w:pPr>
      <w:r>
        <w:rPr>
          <w:rFonts w:ascii="Times New Roman" w:hAnsi="Times New Roman" w:cs="Times New Roman"/>
          <w:sz w:val="20"/>
          <w:szCs w:val="23"/>
        </w:rPr>
        <w:t>As seen in the figure, t</w:t>
      </w:r>
      <w:r w:rsidR="00704C21" w:rsidRPr="0042011B">
        <w:rPr>
          <w:rFonts w:ascii="Times New Roman" w:hAnsi="Times New Roman" w:cs="Times New Roman"/>
          <w:sz w:val="20"/>
          <w:szCs w:val="23"/>
        </w:rPr>
        <w:t>he EPRI</w:t>
      </w:r>
      <w:r w:rsidR="00E44A94" w:rsidRPr="0042011B">
        <w:rPr>
          <w:rFonts w:ascii="Times New Roman" w:hAnsi="Times New Roman" w:cs="Times New Roman"/>
          <w:sz w:val="20"/>
          <w:szCs w:val="23"/>
        </w:rPr>
        <w:t xml:space="preserve"> method define</w:t>
      </w:r>
      <w:r>
        <w:rPr>
          <w:rFonts w:ascii="Times New Roman" w:hAnsi="Times New Roman" w:cs="Times New Roman"/>
          <w:sz w:val="20"/>
          <w:szCs w:val="23"/>
        </w:rPr>
        <w:t>s</w:t>
      </w:r>
      <w:r w:rsidR="00E44A94" w:rsidRPr="0042011B">
        <w:rPr>
          <w:rFonts w:ascii="Times New Roman" w:hAnsi="Times New Roman" w:cs="Times New Roman"/>
          <w:sz w:val="20"/>
          <w:szCs w:val="23"/>
        </w:rPr>
        <w:t xml:space="preserve"> smart grid technologies</w:t>
      </w:r>
      <w:r>
        <w:rPr>
          <w:rFonts w:ascii="Times New Roman" w:hAnsi="Times New Roman" w:cs="Times New Roman"/>
          <w:sz w:val="20"/>
          <w:szCs w:val="23"/>
        </w:rPr>
        <w:t>,</w:t>
      </w:r>
      <w:r w:rsidR="00E44A94" w:rsidRPr="0042011B">
        <w:rPr>
          <w:rFonts w:ascii="Times New Roman" w:hAnsi="Times New Roman" w:cs="Times New Roman"/>
          <w:sz w:val="20"/>
          <w:szCs w:val="23"/>
        </w:rPr>
        <w:t xml:space="preserve"> or assets, </w:t>
      </w:r>
      <w:r>
        <w:rPr>
          <w:rFonts w:ascii="Times New Roman" w:hAnsi="Times New Roman" w:cs="Times New Roman"/>
          <w:sz w:val="20"/>
          <w:szCs w:val="23"/>
        </w:rPr>
        <w:t>and their technical functions. The mec</w:t>
      </w:r>
      <w:r w:rsidR="00A03F4C">
        <w:rPr>
          <w:rFonts w:ascii="Times New Roman" w:hAnsi="Times New Roman" w:cs="Times New Roman"/>
          <w:sz w:val="20"/>
          <w:szCs w:val="23"/>
        </w:rPr>
        <w:t>hanisms by which they generate</w:t>
      </w:r>
      <w:r>
        <w:rPr>
          <w:rFonts w:ascii="Times New Roman" w:hAnsi="Times New Roman" w:cs="Times New Roman"/>
          <w:sz w:val="20"/>
          <w:szCs w:val="23"/>
        </w:rPr>
        <w:t xml:space="preserve"> </w:t>
      </w:r>
      <w:r w:rsidR="00E44A94" w:rsidRPr="0042011B">
        <w:rPr>
          <w:rFonts w:ascii="Times New Roman" w:hAnsi="Times New Roman" w:cs="Times New Roman"/>
          <w:sz w:val="20"/>
          <w:szCs w:val="23"/>
        </w:rPr>
        <w:t>benefits</w:t>
      </w:r>
      <w:r>
        <w:rPr>
          <w:rFonts w:ascii="Times New Roman" w:hAnsi="Times New Roman" w:cs="Times New Roman"/>
          <w:sz w:val="20"/>
          <w:szCs w:val="23"/>
        </w:rPr>
        <w:t xml:space="preserve"> are specified and monetized</w:t>
      </w:r>
      <w:r w:rsidR="00E44A94" w:rsidRPr="0042011B">
        <w:rPr>
          <w:rFonts w:ascii="Times New Roman" w:hAnsi="Times New Roman" w:cs="Times New Roman"/>
          <w:sz w:val="20"/>
          <w:szCs w:val="23"/>
        </w:rPr>
        <w:t xml:space="preserve">. </w:t>
      </w:r>
      <w:r w:rsidR="00704C21" w:rsidRPr="0042011B">
        <w:rPr>
          <w:rFonts w:ascii="Times New Roman" w:hAnsi="Times New Roman" w:cs="Times New Roman"/>
          <w:sz w:val="20"/>
          <w:szCs w:val="23"/>
        </w:rPr>
        <w:t>Benefits are allocated to the utility, consumers, and society.</w:t>
      </w:r>
      <w:r w:rsidR="00CD0F5D" w:rsidRPr="0042011B">
        <w:rPr>
          <w:rFonts w:ascii="Times New Roman" w:hAnsi="Times New Roman" w:cs="Times New Roman"/>
          <w:sz w:val="20"/>
          <w:szCs w:val="23"/>
        </w:rPr>
        <w:t xml:space="preserve"> </w:t>
      </w:r>
      <w:r w:rsidR="00CD0F5D" w:rsidRPr="0042011B">
        <w:rPr>
          <w:rFonts w:ascii="Times New Roman" w:eastAsia="Times New Roman" w:hAnsi="Times New Roman" w:cs="Times New Roman" w:hint="eastAsia"/>
          <w:color w:val="000000"/>
          <w:sz w:val="20"/>
          <w:lang w:eastAsia="zh-CN"/>
        </w:rPr>
        <w:t xml:space="preserve">The </w:t>
      </w:r>
      <w:r w:rsidR="00CD0F5D" w:rsidRPr="0042011B">
        <w:rPr>
          <w:rFonts w:ascii="Times New Roman" w:eastAsia="Times New Roman" w:hAnsi="Times New Roman" w:cs="Times New Roman"/>
          <w:color w:val="000000"/>
          <w:sz w:val="20"/>
          <w:lang w:eastAsia="zh-CN"/>
        </w:rPr>
        <w:t xml:space="preserve">EPRI </w:t>
      </w:r>
      <w:r w:rsidR="00035A81">
        <w:rPr>
          <w:rFonts w:ascii="Times New Roman" w:eastAsia="Times New Roman" w:hAnsi="Times New Roman" w:cs="Times New Roman"/>
          <w:color w:val="000000"/>
          <w:sz w:val="20"/>
          <w:lang w:eastAsia="zh-CN"/>
        </w:rPr>
        <w:t>m</w:t>
      </w:r>
      <w:r w:rsidR="00CD0F5D" w:rsidRPr="0042011B">
        <w:rPr>
          <w:rFonts w:ascii="Times New Roman" w:eastAsia="Times New Roman" w:hAnsi="Times New Roman" w:cs="Times New Roman"/>
          <w:color w:val="000000"/>
          <w:sz w:val="20"/>
          <w:lang w:eastAsia="zh-CN"/>
        </w:rPr>
        <w:t xml:space="preserve">ethod defines </w:t>
      </w:r>
      <w:r w:rsidR="00CD0F5D" w:rsidRPr="00695E5F">
        <w:rPr>
          <w:rFonts w:ascii="Times New Roman" w:eastAsia="Times New Roman" w:hAnsi="Times New Roman" w:cs="Times New Roman"/>
          <w:color w:val="000000"/>
          <w:sz w:val="20"/>
          <w:lang w:eastAsia="zh-CN"/>
        </w:rPr>
        <w:t xml:space="preserve">benefit </w:t>
      </w:r>
      <w:r w:rsidR="00CD0F5D" w:rsidRPr="0042011B">
        <w:rPr>
          <w:rFonts w:ascii="Times New Roman" w:eastAsia="Times New Roman" w:hAnsi="Times New Roman" w:cs="Times New Roman"/>
          <w:color w:val="000000"/>
          <w:sz w:val="20"/>
          <w:lang w:eastAsia="zh-CN"/>
        </w:rPr>
        <w:t xml:space="preserve">as a monetized value of the impact of a smart grid project to a firm, a household, or society in general. </w:t>
      </w:r>
    </w:p>
    <w:p w14:paraId="3E941724" w14:textId="77777777" w:rsidR="00CD0F5D" w:rsidRPr="0042011B" w:rsidRDefault="00CD0F5D" w:rsidP="00CD0F5D">
      <w:pPr>
        <w:spacing w:after="0" w:line="240" w:lineRule="auto"/>
        <w:rPr>
          <w:rFonts w:ascii="Times New Roman" w:eastAsia="Times New Roman" w:hAnsi="Times New Roman" w:cs="Times New Roman"/>
          <w:color w:val="000000"/>
          <w:sz w:val="20"/>
        </w:rPr>
      </w:pPr>
      <w:r w:rsidRPr="00D17C1E">
        <w:rPr>
          <w:noProof/>
        </w:rPr>
        <w:drawing>
          <wp:inline distT="0" distB="0" distL="0" distR="0" wp14:anchorId="1349CA5C" wp14:editId="10E4F6CE">
            <wp:extent cx="5789223" cy="1571625"/>
            <wp:effectExtent l="0" t="0" r="254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7905" cy="157669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D17C1E">
        <w:rPr>
          <w:rFonts w:ascii="Times New Roman" w:eastAsia="Times New Roman" w:hAnsi="Times New Roman" w:cs="Times New Roman"/>
          <w:color w:val="000000"/>
        </w:rPr>
        <w:t xml:space="preserve"> </w:t>
      </w:r>
      <w:r w:rsidRPr="00695E5F">
        <w:rPr>
          <w:rFonts w:ascii="Times New Roman" w:eastAsia="Times New Roman" w:hAnsi="Times New Roman" w:cs="Times New Roman"/>
          <w:i/>
          <w:color w:val="000000"/>
          <w:sz w:val="20"/>
        </w:rPr>
        <w:t>(Source: EPRI, 2010)</w:t>
      </w:r>
    </w:p>
    <w:p w14:paraId="52488A1B" w14:textId="77777777" w:rsidR="00CD0F5D" w:rsidRPr="0042011B" w:rsidRDefault="00CD0F5D" w:rsidP="00CD0F5D">
      <w:pPr>
        <w:pStyle w:val="Caption"/>
        <w:rPr>
          <w:rFonts w:ascii="Times New Roman" w:eastAsia="Times New Roman" w:hAnsi="Times New Roman" w:cs="Times New Roman"/>
          <w:color w:val="000000"/>
          <w:sz w:val="16"/>
        </w:rPr>
      </w:pPr>
      <w:bookmarkStart w:id="1" w:name="_Ref291838406"/>
      <w:r w:rsidRPr="0042011B">
        <w:rPr>
          <w:sz w:val="16"/>
        </w:rPr>
        <w:t xml:space="preserve">Figure </w:t>
      </w:r>
      <w:r w:rsidRPr="0042011B">
        <w:rPr>
          <w:sz w:val="16"/>
        </w:rPr>
        <w:fldChar w:fldCharType="begin"/>
      </w:r>
      <w:r w:rsidRPr="0042011B">
        <w:rPr>
          <w:sz w:val="16"/>
        </w:rPr>
        <w:instrText xml:space="preserve"> SEQ Figure \* ARABIC </w:instrText>
      </w:r>
      <w:r w:rsidRPr="0042011B">
        <w:rPr>
          <w:sz w:val="16"/>
        </w:rPr>
        <w:fldChar w:fldCharType="separate"/>
      </w:r>
      <w:r w:rsidR="00D81F4B">
        <w:rPr>
          <w:noProof/>
          <w:sz w:val="16"/>
        </w:rPr>
        <w:t>1</w:t>
      </w:r>
      <w:r w:rsidRPr="0042011B">
        <w:rPr>
          <w:noProof/>
          <w:sz w:val="16"/>
        </w:rPr>
        <w:fldChar w:fldCharType="end"/>
      </w:r>
      <w:bookmarkEnd w:id="1"/>
      <w:r w:rsidRPr="0042011B">
        <w:rPr>
          <w:rFonts w:hint="eastAsia"/>
          <w:sz w:val="16"/>
        </w:rPr>
        <w:t xml:space="preserve">  The logic flow of SGCT</w:t>
      </w:r>
    </w:p>
    <w:p w14:paraId="43E71955" w14:textId="37F03B21" w:rsidR="00704C21" w:rsidRPr="0042011B" w:rsidRDefault="00054BF5" w:rsidP="00E44A94">
      <w:pPr>
        <w:rPr>
          <w:rFonts w:ascii="Times New Roman" w:hAnsi="Times New Roman" w:cs="Times New Roman"/>
          <w:sz w:val="20"/>
          <w:szCs w:val="23"/>
        </w:rPr>
      </w:pPr>
      <w:r>
        <w:rPr>
          <w:rFonts w:ascii="Times New Roman" w:hAnsi="Times New Roman" w:cs="Times New Roman"/>
          <w:sz w:val="20"/>
          <w:szCs w:val="23"/>
        </w:rPr>
        <w:lastRenderedPageBreak/>
        <w:t xml:space="preserve">The </w:t>
      </w:r>
      <w:r w:rsidR="0072413D" w:rsidRPr="0042011B">
        <w:rPr>
          <w:rFonts w:ascii="Times New Roman" w:hAnsi="Times New Roman" w:cs="Times New Roman"/>
          <w:sz w:val="20"/>
          <w:szCs w:val="23"/>
        </w:rPr>
        <w:t xml:space="preserve">AHP method </w:t>
      </w:r>
      <w:r w:rsidR="00600B40" w:rsidRPr="0042011B">
        <w:rPr>
          <w:rFonts w:ascii="Times New Roman" w:hAnsi="Times New Roman" w:cs="Times New Roman"/>
          <w:sz w:val="20"/>
          <w:szCs w:val="23"/>
        </w:rPr>
        <w:t xml:space="preserve">converts subjective </w:t>
      </w:r>
      <w:r>
        <w:rPr>
          <w:rFonts w:ascii="Times New Roman" w:hAnsi="Times New Roman" w:cs="Times New Roman"/>
          <w:sz w:val="20"/>
          <w:szCs w:val="23"/>
        </w:rPr>
        <w:t xml:space="preserve">expert </w:t>
      </w:r>
      <w:r w:rsidR="00600B40" w:rsidRPr="0042011B">
        <w:rPr>
          <w:rFonts w:ascii="Times New Roman" w:hAnsi="Times New Roman" w:cs="Times New Roman"/>
          <w:sz w:val="20"/>
          <w:szCs w:val="23"/>
        </w:rPr>
        <w:t>evaluations into numerical values and ra</w:t>
      </w:r>
      <w:r>
        <w:rPr>
          <w:rFonts w:ascii="Times New Roman" w:hAnsi="Times New Roman" w:cs="Times New Roman"/>
          <w:sz w:val="20"/>
          <w:szCs w:val="23"/>
        </w:rPr>
        <w:t>nks each alternative</w:t>
      </w:r>
      <w:r w:rsidR="00600B40" w:rsidRPr="0042011B">
        <w:rPr>
          <w:rFonts w:ascii="Times New Roman" w:hAnsi="Times New Roman" w:cs="Times New Roman"/>
          <w:sz w:val="20"/>
          <w:szCs w:val="23"/>
        </w:rPr>
        <w:t xml:space="preserve"> on a numerical scale. </w:t>
      </w:r>
      <w:r w:rsidR="00A03F4C" w:rsidRPr="002372CC">
        <w:rPr>
          <w:rFonts w:ascii="Times New Roman" w:hAnsi="Times New Roman" w:cs="Times New Roman"/>
          <w:sz w:val="20"/>
          <w:szCs w:val="23"/>
        </w:rPr>
        <w:t>The method starts with</w:t>
      </w:r>
      <w:r w:rsidR="004F3D94" w:rsidRPr="002372CC">
        <w:rPr>
          <w:rFonts w:ascii="Times New Roman" w:hAnsi="Times New Roman" w:cs="Times New Roman"/>
          <w:sz w:val="20"/>
          <w:szCs w:val="23"/>
        </w:rPr>
        <w:t xml:space="preserve"> establishment of</w:t>
      </w:r>
      <w:r w:rsidR="00A03F4C" w:rsidRPr="002372CC">
        <w:rPr>
          <w:rFonts w:ascii="Times New Roman" w:hAnsi="Times New Roman" w:cs="Times New Roman"/>
          <w:sz w:val="20"/>
          <w:szCs w:val="23"/>
        </w:rPr>
        <w:t xml:space="preserve"> </w:t>
      </w:r>
      <w:r w:rsidR="002372CC" w:rsidRPr="002372CC">
        <w:rPr>
          <w:rFonts w:ascii="Times New Roman" w:hAnsi="Times New Roman" w:cs="Times New Roman"/>
          <w:sz w:val="20"/>
          <w:szCs w:val="23"/>
        </w:rPr>
        <w:t>a</w:t>
      </w:r>
      <w:r w:rsidR="00A03F4C" w:rsidRPr="002372CC">
        <w:rPr>
          <w:rFonts w:ascii="Times New Roman" w:hAnsi="Times New Roman" w:cs="Times New Roman"/>
          <w:sz w:val="20"/>
          <w:szCs w:val="23"/>
        </w:rPr>
        <w:t xml:space="preserve"> general </w:t>
      </w:r>
      <w:r w:rsidR="004F3D94" w:rsidRPr="002372CC">
        <w:rPr>
          <w:rFonts w:ascii="Times New Roman" w:hAnsi="Times New Roman" w:cs="Times New Roman"/>
          <w:sz w:val="20"/>
          <w:szCs w:val="23"/>
        </w:rPr>
        <w:t>indicator system based on al</w:t>
      </w:r>
      <w:r w:rsidR="002372CC" w:rsidRPr="002372CC">
        <w:rPr>
          <w:rFonts w:ascii="Times New Roman" w:hAnsi="Times New Roman" w:cs="Times New Roman"/>
          <w:sz w:val="20"/>
          <w:szCs w:val="23"/>
        </w:rPr>
        <w:t>l the benefits</w:t>
      </w:r>
      <w:r w:rsidR="004F3D94" w:rsidRPr="002372CC">
        <w:rPr>
          <w:rFonts w:ascii="Times New Roman" w:hAnsi="Times New Roman" w:cs="Times New Roman"/>
          <w:sz w:val="20"/>
          <w:szCs w:val="23"/>
        </w:rPr>
        <w:t xml:space="preserve"> </w:t>
      </w:r>
      <w:r w:rsidR="002372CC" w:rsidRPr="002372CC">
        <w:rPr>
          <w:rFonts w:ascii="Times New Roman" w:hAnsi="Times New Roman" w:cs="Times New Roman"/>
          <w:sz w:val="20"/>
          <w:szCs w:val="23"/>
        </w:rPr>
        <w:t>generated</w:t>
      </w:r>
      <w:r w:rsidR="004F3D94" w:rsidRPr="002372CC">
        <w:rPr>
          <w:rFonts w:ascii="Times New Roman" w:hAnsi="Times New Roman" w:cs="Times New Roman"/>
          <w:sz w:val="20"/>
          <w:szCs w:val="23"/>
        </w:rPr>
        <w:t xml:space="preserve"> </w:t>
      </w:r>
      <w:r w:rsidR="002372CC" w:rsidRPr="002372CC">
        <w:rPr>
          <w:rFonts w:ascii="Times New Roman" w:hAnsi="Times New Roman" w:cs="Times New Roman"/>
          <w:sz w:val="20"/>
          <w:szCs w:val="23"/>
        </w:rPr>
        <w:t xml:space="preserve">by each </w:t>
      </w:r>
      <w:r w:rsidR="004F3D94" w:rsidRPr="002372CC">
        <w:rPr>
          <w:rFonts w:ascii="Times New Roman" w:hAnsi="Times New Roman" w:cs="Times New Roman"/>
          <w:sz w:val="20"/>
          <w:szCs w:val="23"/>
        </w:rPr>
        <w:t>sma</w:t>
      </w:r>
      <w:r w:rsidR="00C20CAB" w:rsidRPr="002372CC">
        <w:rPr>
          <w:rFonts w:ascii="Times New Roman" w:hAnsi="Times New Roman" w:cs="Times New Roman"/>
          <w:sz w:val="20"/>
          <w:szCs w:val="23"/>
        </w:rPr>
        <w:t xml:space="preserve">rt grid </w:t>
      </w:r>
      <w:r w:rsidR="002372CC" w:rsidRPr="002372CC">
        <w:rPr>
          <w:rFonts w:ascii="Times New Roman" w:hAnsi="Times New Roman" w:cs="Times New Roman"/>
          <w:sz w:val="20"/>
          <w:szCs w:val="23"/>
        </w:rPr>
        <w:t>sub-</w:t>
      </w:r>
      <w:r w:rsidR="00C20CAB" w:rsidRPr="002372CC">
        <w:rPr>
          <w:rFonts w:ascii="Times New Roman" w:hAnsi="Times New Roman" w:cs="Times New Roman"/>
          <w:sz w:val="20"/>
          <w:szCs w:val="23"/>
        </w:rPr>
        <w:t>project</w:t>
      </w:r>
      <w:r w:rsidR="004F3D94" w:rsidRPr="002372CC">
        <w:rPr>
          <w:rFonts w:ascii="Times New Roman" w:hAnsi="Times New Roman" w:cs="Times New Roman"/>
          <w:sz w:val="20"/>
          <w:szCs w:val="23"/>
        </w:rPr>
        <w:t>. Then, each indicator</w:t>
      </w:r>
      <w:r w:rsidR="00C20CAB" w:rsidRPr="002372CC">
        <w:rPr>
          <w:rFonts w:ascii="Times New Roman" w:hAnsi="Times New Roman" w:cs="Times New Roman"/>
          <w:sz w:val="20"/>
          <w:szCs w:val="23"/>
        </w:rPr>
        <w:t>, e.g., reliability, efficiency, economy, and environmental friendly,</w:t>
      </w:r>
      <w:r w:rsidR="004F3D94" w:rsidRPr="002372CC">
        <w:rPr>
          <w:rFonts w:ascii="Times New Roman" w:hAnsi="Times New Roman" w:cs="Times New Roman"/>
          <w:sz w:val="20"/>
          <w:szCs w:val="23"/>
        </w:rPr>
        <w:t xml:space="preserve"> is assigned a </w:t>
      </w:r>
      <w:r w:rsidR="002372CC" w:rsidRPr="002372CC">
        <w:rPr>
          <w:rFonts w:ascii="Times New Roman" w:hAnsi="Times New Roman" w:cs="Times New Roman"/>
          <w:sz w:val="20"/>
          <w:szCs w:val="23"/>
        </w:rPr>
        <w:t xml:space="preserve">relative </w:t>
      </w:r>
      <w:r w:rsidR="004F3D94" w:rsidRPr="002372CC">
        <w:rPr>
          <w:rFonts w:ascii="Times New Roman" w:hAnsi="Times New Roman" w:cs="Times New Roman"/>
          <w:sz w:val="20"/>
          <w:szCs w:val="23"/>
        </w:rPr>
        <w:t xml:space="preserve">weight according to </w:t>
      </w:r>
      <w:r w:rsidR="002372CC" w:rsidRPr="002372CC">
        <w:rPr>
          <w:rFonts w:ascii="Times New Roman" w:hAnsi="Times New Roman" w:cs="Times New Roman"/>
          <w:sz w:val="20"/>
          <w:szCs w:val="23"/>
        </w:rPr>
        <w:t>expert opinion</w:t>
      </w:r>
      <w:r w:rsidR="004F3D94" w:rsidRPr="002372CC">
        <w:rPr>
          <w:rFonts w:ascii="Times New Roman" w:hAnsi="Times New Roman" w:cs="Times New Roman"/>
          <w:sz w:val="20"/>
          <w:szCs w:val="23"/>
        </w:rPr>
        <w:t>. The</w:t>
      </w:r>
      <w:r w:rsidR="002372CC" w:rsidRPr="002372CC">
        <w:rPr>
          <w:rFonts w:ascii="Times New Roman" w:hAnsi="Times New Roman" w:cs="Times New Roman"/>
          <w:sz w:val="20"/>
          <w:szCs w:val="23"/>
        </w:rPr>
        <w:t>se</w:t>
      </w:r>
      <w:r w:rsidR="004F3D94" w:rsidRPr="002372CC">
        <w:rPr>
          <w:rFonts w:ascii="Times New Roman" w:hAnsi="Times New Roman" w:cs="Times New Roman"/>
          <w:sz w:val="20"/>
          <w:szCs w:val="23"/>
        </w:rPr>
        <w:t xml:space="preserve"> weights are</w:t>
      </w:r>
      <w:r w:rsidR="002372CC" w:rsidRPr="002372CC">
        <w:rPr>
          <w:rFonts w:ascii="Times New Roman" w:hAnsi="Times New Roman" w:cs="Times New Roman"/>
          <w:sz w:val="20"/>
          <w:szCs w:val="23"/>
        </w:rPr>
        <w:t xml:space="preserve"> integrated and used to calculate an </w:t>
      </w:r>
      <w:r w:rsidR="004F3D94" w:rsidRPr="002372CC">
        <w:rPr>
          <w:rFonts w:ascii="Times New Roman" w:hAnsi="Times New Roman" w:cs="Times New Roman"/>
          <w:sz w:val="20"/>
          <w:szCs w:val="23"/>
        </w:rPr>
        <w:t>overall</w:t>
      </w:r>
      <w:r w:rsidR="002372CC" w:rsidRPr="002372CC">
        <w:rPr>
          <w:rFonts w:ascii="Times New Roman" w:hAnsi="Times New Roman" w:cs="Times New Roman"/>
          <w:sz w:val="20"/>
          <w:szCs w:val="23"/>
        </w:rPr>
        <w:t xml:space="preserve"> dimensionless benefit of the</w:t>
      </w:r>
      <w:r w:rsidR="004F3D94" w:rsidRPr="002372CC">
        <w:rPr>
          <w:rFonts w:ascii="Times New Roman" w:hAnsi="Times New Roman" w:cs="Times New Roman"/>
          <w:sz w:val="20"/>
          <w:szCs w:val="23"/>
        </w:rPr>
        <w:t xml:space="preserve"> smart grid </w:t>
      </w:r>
      <w:r w:rsidR="00C20CAB" w:rsidRPr="002372CC">
        <w:rPr>
          <w:rFonts w:ascii="Times New Roman" w:hAnsi="Times New Roman" w:cs="Times New Roman"/>
          <w:sz w:val="20"/>
          <w:szCs w:val="23"/>
        </w:rPr>
        <w:t>project</w:t>
      </w:r>
      <w:r w:rsidR="004F3D94" w:rsidRPr="002372CC">
        <w:rPr>
          <w:rFonts w:ascii="Times New Roman" w:hAnsi="Times New Roman" w:cs="Times New Roman"/>
          <w:sz w:val="20"/>
          <w:szCs w:val="23"/>
        </w:rPr>
        <w:t>.</w:t>
      </w:r>
      <w:r w:rsidR="004F3D94">
        <w:rPr>
          <w:rFonts w:ascii="Times New Roman" w:hAnsi="Times New Roman" w:cs="Times New Roman"/>
          <w:sz w:val="20"/>
          <w:szCs w:val="23"/>
        </w:rPr>
        <w:t xml:space="preserve"> </w:t>
      </w:r>
    </w:p>
    <w:p w14:paraId="13C39E75" w14:textId="77777777" w:rsidR="00600B40" w:rsidRPr="00BA49A7" w:rsidRDefault="00600B40" w:rsidP="00600B40">
      <w:pPr>
        <w:pStyle w:val="Heading2"/>
        <w:spacing w:before="240" w:after="60"/>
        <w:ind w:left="-810" w:firstLine="810"/>
        <w:rPr>
          <w:rFonts w:ascii="Arial" w:hAnsi="Arial"/>
          <w:bCs w:val="0"/>
          <w:lang w:val="en-GB"/>
        </w:rPr>
      </w:pPr>
      <w:r w:rsidRPr="00BA49A7">
        <w:rPr>
          <w:rFonts w:ascii="Arial" w:hAnsi="Arial"/>
          <w:bCs w:val="0"/>
          <w:lang w:val="en-GB"/>
        </w:rPr>
        <w:t>Results</w:t>
      </w:r>
    </w:p>
    <w:p w14:paraId="52A2BA68" w14:textId="282CFD72" w:rsidR="00C20EE3" w:rsidRPr="0042011B" w:rsidRDefault="00C20EE3" w:rsidP="00E44A94">
      <w:pPr>
        <w:rPr>
          <w:rFonts w:asciiTheme="majorBidi" w:hAnsiTheme="majorBidi" w:cstheme="majorBidi"/>
          <w:iCs/>
          <w:sz w:val="20"/>
          <w:szCs w:val="28"/>
          <w:lang w:eastAsia="zh-CN"/>
        </w:rPr>
      </w:pPr>
      <w:r w:rsidRPr="0042011B">
        <w:rPr>
          <w:rFonts w:asciiTheme="majorBidi" w:hAnsiTheme="majorBidi" w:cstheme="majorBidi"/>
          <w:iCs/>
          <w:sz w:val="20"/>
          <w:szCs w:val="28"/>
          <w:lang w:eastAsia="zh-CN"/>
        </w:rPr>
        <w:t xml:space="preserve">In this </w:t>
      </w:r>
      <w:r w:rsidR="00F86472">
        <w:rPr>
          <w:rFonts w:asciiTheme="majorBidi" w:hAnsiTheme="majorBidi" w:cstheme="majorBidi"/>
          <w:iCs/>
          <w:sz w:val="20"/>
          <w:szCs w:val="28"/>
          <w:lang w:eastAsia="zh-CN"/>
        </w:rPr>
        <w:t>paper</w:t>
      </w:r>
      <w:r w:rsidRPr="0042011B">
        <w:rPr>
          <w:rFonts w:asciiTheme="majorBidi" w:hAnsiTheme="majorBidi" w:cstheme="majorBidi"/>
          <w:iCs/>
          <w:sz w:val="20"/>
          <w:szCs w:val="28"/>
          <w:lang w:eastAsia="zh-CN"/>
        </w:rPr>
        <w:t xml:space="preserve">, </w:t>
      </w:r>
      <w:r w:rsidR="00054BF5">
        <w:rPr>
          <w:rFonts w:asciiTheme="majorBidi" w:hAnsiTheme="majorBidi" w:cstheme="majorBidi"/>
          <w:iCs/>
          <w:sz w:val="20"/>
          <w:szCs w:val="28"/>
          <w:lang w:eastAsia="zh-CN"/>
        </w:rPr>
        <w:t>aspects of</w:t>
      </w:r>
      <w:r w:rsidRPr="0042011B">
        <w:rPr>
          <w:rFonts w:asciiTheme="majorBidi" w:hAnsiTheme="majorBidi" w:cstheme="majorBidi"/>
          <w:iCs/>
          <w:sz w:val="20"/>
          <w:szCs w:val="28"/>
          <w:lang w:eastAsia="zh-CN"/>
        </w:rPr>
        <w:t xml:space="preserve"> the three </w:t>
      </w:r>
      <w:r w:rsidR="00054BF5">
        <w:rPr>
          <w:rFonts w:asciiTheme="majorBidi" w:hAnsiTheme="majorBidi" w:cstheme="majorBidi"/>
          <w:iCs/>
          <w:sz w:val="20"/>
          <w:szCs w:val="28"/>
          <w:lang w:eastAsia="zh-CN"/>
        </w:rPr>
        <w:t>actual demonstrations are analyzed</w:t>
      </w:r>
      <w:r w:rsidRPr="0042011B">
        <w:rPr>
          <w:rFonts w:asciiTheme="majorBidi" w:hAnsiTheme="majorBidi" w:cstheme="majorBidi"/>
          <w:iCs/>
          <w:sz w:val="20"/>
          <w:szCs w:val="28"/>
          <w:lang w:eastAsia="zh-CN"/>
        </w:rPr>
        <w:t xml:space="preserve">: (1) </w:t>
      </w:r>
      <w:r w:rsidR="00556B05">
        <w:rPr>
          <w:rFonts w:asciiTheme="majorBidi" w:hAnsiTheme="majorBidi" w:cstheme="majorBidi"/>
          <w:iCs/>
          <w:sz w:val="20"/>
          <w:szCs w:val="28"/>
          <w:lang w:eastAsia="zh-CN"/>
        </w:rPr>
        <w:t xml:space="preserve">the </w:t>
      </w:r>
      <w:r w:rsidRPr="0042011B">
        <w:rPr>
          <w:rFonts w:asciiTheme="majorBidi" w:hAnsiTheme="majorBidi" w:cstheme="majorBidi"/>
          <w:iCs/>
          <w:sz w:val="20"/>
          <w:szCs w:val="28"/>
          <w:lang w:eastAsia="zh-CN"/>
        </w:rPr>
        <w:t>Irvine Smart Grid Demonstration (ISGD) Pro</w:t>
      </w:r>
      <w:r w:rsidR="00695E5F">
        <w:rPr>
          <w:rFonts w:asciiTheme="majorBidi" w:hAnsiTheme="majorBidi" w:cstheme="majorBidi"/>
          <w:iCs/>
          <w:sz w:val="20"/>
          <w:szCs w:val="28"/>
          <w:lang w:eastAsia="zh-CN"/>
        </w:rPr>
        <w:t>ject in</w:t>
      </w:r>
      <w:r w:rsidR="00556B05">
        <w:rPr>
          <w:rFonts w:asciiTheme="majorBidi" w:hAnsiTheme="majorBidi" w:cstheme="majorBidi"/>
          <w:iCs/>
          <w:sz w:val="20"/>
          <w:szCs w:val="28"/>
          <w:lang w:eastAsia="zh-CN"/>
        </w:rPr>
        <w:t xml:space="preserve"> Southern California</w:t>
      </w:r>
      <w:r w:rsidRPr="0042011B">
        <w:rPr>
          <w:rFonts w:asciiTheme="majorBidi" w:hAnsiTheme="majorBidi" w:cstheme="majorBidi"/>
          <w:iCs/>
          <w:sz w:val="20"/>
          <w:szCs w:val="28"/>
          <w:lang w:eastAsia="zh-CN"/>
        </w:rPr>
        <w:t>, (2)</w:t>
      </w:r>
      <w:r w:rsidR="00556B05" w:rsidRPr="00556B05">
        <w:rPr>
          <w:rFonts w:ascii="Times New Roman" w:eastAsia="Times New Roman" w:hAnsi="Times New Roman" w:cs="Times New Roman"/>
          <w:color w:val="000000"/>
          <w:sz w:val="20"/>
        </w:rPr>
        <w:t xml:space="preserve"> </w:t>
      </w:r>
      <w:r w:rsidR="00556B05">
        <w:rPr>
          <w:rFonts w:ascii="Times New Roman" w:eastAsia="Times New Roman" w:hAnsi="Times New Roman" w:cs="Times New Roman"/>
          <w:color w:val="000000"/>
          <w:sz w:val="20"/>
        </w:rPr>
        <w:t xml:space="preserve">the </w:t>
      </w:r>
      <w:r w:rsidR="00556B05" w:rsidRPr="0042011B">
        <w:rPr>
          <w:rFonts w:ascii="Times New Roman" w:eastAsia="Times New Roman" w:hAnsi="Times New Roman" w:cs="Times New Roman"/>
          <w:color w:val="000000"/>
          <w:sz w:val="20"/>
        </w:rPr>
        <w:t>Tianjin Eco-city project in China</w:t>
      </w:r>
      <w:r w:rsidR="00556B05">
        <w:rPr>
          <w:rFonts w:ascii="Times New Roman" w:eastAsia="Times New Roman" w:hAnsi="Times New Roman" w:cs="Times New Roman"/>
          <w:color w:val="000000"/>
          <w:sz w:val="20"/>
        </w:rPr>
        <w:t>, and</w:t>
      </w:r>
      <w:r w:rsidR="00556B05">
        <w:rPr>
          <w:rFonts w:asciiTheme="majorBidi" w:hAnsiTheme="majorBidi" w:cstheme="majorBidi"/>
          <w:iCs/>
          <w:sz w:val="20"/>
          <w:szCs w:val="28"/>
          <w:lang w:eastAsia="zh-CN"/>
        </w:rPr>
        <w:t xml:space="preserve"> (3) the </w:t>
      </w:r>
      <w:r w:rsidRPr="00556B05">
        <w:rPr>
          <w:rFonts w:asciiTheme="majorBidi" w:hAnsiTheme="majorBidi" w:cstheme="majorBidi"/>
          <w:iCs/>
          <w:sz w:val="20"/>
          <w:szCs w:val="28"/>
          <w:lang w:eastAsia="zh-CN"/>
        </w:rPr>
        <w:t xml:space="preserve">Malagrotta demonstration in </w:t>
      </w:r>
      <w:r w:rsidR="00556B05" w:rsidRPr="00556B05">
        <w:rPr>
          <w:rFonts w:asciiTheme="majorBidi" w:hAnsiTheme="majorBidi" w:cstheme="majorBidi"/>
          <w:iCs/>
          <w:sz w:val="20"/>
          <w:szCs w:val="28"/>
          <w:lang w:eastAsia="zh-CN"/>
        </w:rPr>
        <w:t>Rome.</w:t>
      </w:r>
    </w:p>
    <w:p w14:paraId="376438EE" w14:textId="4ECC00D2" w:rsidR="00F86472" w:rsidRDefault="00035A81" w:rsidP="00E44A94">
      <w:pPr>
        <w:rPr>
          <w:rFonts w:ascii="Times New Roman" w:eastAsia="Times New Roman" w:hAnsi="Times New Roman" w:cs="Times New Roman"/>
          <w:color w:val="000000"/>
          <w:sz w:val="20"/>
          <w:lang w:eastAsia="zh-CN"/>
        </w:rPr>
      </w:pPr>
      <w:r w:rsidRPr="00FB1B59">
        <w:rPr>
          <w:rFonts w:asciiTheme="majorBidi" w:hAnsiTheme="majorBidi" w:cstheme="majorBidi"/>
          <w:iCs/>
          <w:sz w:val="20"/>
          <w:szCs w:val="28"/>
          <w:lang w:eastAsia="zh-CN"/>
        </w:rPr>
        <w:t>Lawrence Berkeley National Laboratory (LBNL) used the</w:t>
      </w:r>
      <w:r w:rsidR="00600B40" w:rsidRPr="00FB1B59">
        <w:rPr>
          <w:rFonts w:asciiTheme="majorBidi" w:hAnsiTheme="majorBidi" w:cstheme="majorBidi"/>
          <w:iCs/>
          <w:sz w:val="20"/>
          <w:szCs w:val="28"/>
          <w:lang w:eastAsia="zh-CN"/>
        </w:rPr>
        <w:t xml:space="preserve"> $80M ISGD Project to </w:t>
      </w:r>
      <w:r w:rsidR="00E6507C" w:rsidRPr="00FB1B59">
        <w:rPr>
          <w:rFonts w:asciiTheme="majorBidi" w:hAnsiTheme="majorBidi" w:cstheme="majorBidi"/>
          <w:iCs/>
          <w:sz w:val="20"/>
          <w:szCs w:val="28"/>
          <w:lang w:eastAsia="zh-CN"/>
        </w:rPr>
        <w:t>test</w:t>
      </w:r>
      <w:r w:rsidR="00600B40" w:rsidRPr="00FB1B59">
        <w:rPr>
          <w:rFonts w:asciiTheme="majorBidi" w:hAnsiTheme="majorBidi" w:cstheme="majorBidi"/>
          <w:iCs/>
          <w:sz w:val="20"/>
          <w:szCs w:val="28"/>
          <w:lang w:eastAsia="zh-CN"/>
        </w:rPr>
        <w:t xml:space="preserve"> the </w:t>
      </w:r>
      <w:r w:rsidR="00E6507C" w:rsidRPr="00FB1B59">
        <w:rPr>
          <w:rFonts w:asciiTheme="majorBidi" w:hAnsiTheme="majorBidi" w:cstheme="majorBidi"/>
          <w:iCs/>
          <w:sz w:val="20"/>
          <w:szCs w:val="28"/>
          <w:lang w:eastAsia="zh-CN"/>
        </w:rPr>
        <w:t>EPRI method</w:t>
      </w:r>
      <w:r w:rsidR="002372CC" w:rsidRPr="00FB1B59">
        <w:rPr>
          <w:rFonts w:asciiTheme="majorBidi" w:hAnsiTheme="majorBidi" w:cstheme="majorBidi"/>
          <w:iCs/>
          <w:sz w:val="20"/>
          <w:szCs w:val="28"/>
          <w:lang w:eastAsia="zh-CN"/>
        </w:rPr>
        <w:t xml:space="preserve"> by using its </w:t>
      </w:r>
      <w:r w:rsidR="00F86472" w:rsidRPr="00FB1B59">
        <w:rPr>
          <w:rFonts w:asciiTheme="majorBidi" w:hAnsiTheme="majorBidi" w:cstheme="majorBidi"/>
          <w:iCs/>
          <w:sz w:val="20"/>
          <w:szCs w:val="28"/>
          <w:lang w:eastAsia="zh-CN"/>
        </w:rPr>
        <w:t xml:space="preserve">DOE </w:t>
      </w:r>
      <w:r w:rsidR="002372CC" w:rsidRPr="00FB1B59">
        <w:rPr>
          <w:rFonts w:asciiTheme="majorBidi" w:hAnsiTheme="majorBidi" w:cstheme="majorBidi"/>
          <w:iCs/>
          <w:sz w:val="20"/>
          <w:szCs w:val="28"/>
          <w:lang w:eastAsia="zh-CN"/>
        </w:rPr>
        <w:t>funded implementation in the</w:t>
      </w:r>
      <w:r w:rsidR="00F86472" w:rsidRPr="00FB1B59">
        <w:rPr>
          <w:rFonts w:asciiTheme="majorBidi" w:hAnsiTheme="majorBidi" w:cstheme="majorBidi"/>
          <w:iCs/>
          <w:sz w:val="20"/>
          <w:szCs w:val="28"/>
          <w:lang w:eastAsia="zh-CN"/>
        </w:rPr>
        <w:t xml:space="preserve"> Smart Grid Computational Tool</w:t>
      </w:r>
      <w:r w:rsidR="00600B40" w:rsidRPr="00FB1B59">
        <w:rPr>
          <w:rFonts w:asciiTheme="majorBidi" w:hAnsiTheme="majorBidi" w:cstheme="majorBidi"/>
          <w:iCs/>
          <w:sz w:val="20"/>
          <w:szCs w:val="28"/>
          <w:lang w:eastAsia="zh-CN"/>
        </w:rPr>
        <w:t>.</w:t>
      </w:r>
      <w:r w:rsidR="00E6507C" w:rsidRPr="00FB1B59">
        <w:rPr>
          <w:rFonts w:asciiTheme="majorBidi" w:hAnsiTheme="majorBidi" w:cstheme="majorBidi"/>
          <w:iCs/>
          <w:sz w:val="20"/>
          <w:szCs w:val="28"/>
          <w:lang w:eastAsia="zh-CN"/>
        </w:rPr>
        <w:t xml:space="preserve"> </w:t>
      </w:r>
      <w:r w:rsidR="00E6507C" w:rsidRPr="00FB1B59">
        <w:rPr>
          <w:rFonts w:ascii="Times New Roman" w:eastAsia="Times New Roman" w:hAnsi="Times New Roman" w:cs="Times New Roman"/>
          <w:color w:val="000000"/>
          <w:sz w:val="20"/>
          <w:lang w:eastAsia="zh-CN"/>
        </w:rPr>
        <w:t>ISGD is a comprehensive demonstration that spans the electricity delivery system and extends into customer homes.</w:t>
      </w:r>
      <w:r w:rsidR="00F86472" w:rsidRPr="00FB1B59">
        <w:rPr>
          <w:rFonts w:ascii="Times New Roman" w:eastAsia="Times New Roman" w:hAnsi="Times New Roman" w:cs="Times New Roman"/>
          <w:color w:val="000000"/>
          <w:sz w:val="20"/>
          <w:lang w:eastAsia="zh-CN"/>
        </w:rPr>
        <w:t xml:space="preserve"> T</w:t>
      </w:r>
      <w:r w:rsidR="002372CC" w:rsidRPr="00FB1B59">
        <w:rPr>
          <w:rFonts w:ascii="Times New Roman" w:eastAsia="Times New Roman" w:hAnsi="Times New Roman" w:cs="Times New Roman"/>
          <w:color w:val="000000"/>
          <w:sz w:val="20"/>
          <w:lang w:eastAsia="zh-CN"/>
        </w:rPr>
        <w:t xml:space="preserve">he three subprojects evaluated are: (1) </w:t>
      </w:r>
      <w:r w:rsidR="00FB1B59" w:rsidRPr="00FB1B59">
        <w:rPr>
          <w:rFonts w:ascii="Times New Roman" w:eastAsia="Times New Roman" w:hAnsi="Times New Roman" w:cs="Times New Roman"/>
          <w:color w:val="000000"/>
          <w:sz w:val="20"/>
          <w:lang w:eastAsia="zh-CN"/>
        </w:rPr>
        <w:t xml:space="preserve">a 39 unit </w:t>
      </w:r>
      <w:r w:rsidR="002372CC" w:rsidRPr="00FB1B59">
        <w:rPr>
          <w:rFonts w:ascii="Times New Roman" w:eastAsia="Times New Roman" w:hAnsi="Times New Roman" w:cs="Times New Roman"/>
          <w:color w:val="000000"/>
          <w:sz w:val="20"/>
          <w:lang w:eastAsia="zh-CN"/>
        </w:rPr>
        <w:t xml:space="preserve">home </w:t>
      </w:r>
      <w:r w:rsidR="00FB1B59" w:rsidRPr="00FB1B59">
        <w:rPr>
          <w:rFonts w:ascii="Times New Roman" w:eastAsia="Times New Roman" w:hAnsi="Times New Roman" w:cs="Times New Roman"/>
          <w:color w:val="000000"/>
          <w:sz w:val="20"/>
          <w:lang w:eastAsia="zh-CN"/>
        </w:rPr>
        <w:t>energy efficiency demonstration including some deep zero net energy retrofits,</w:t>
      </w:r>
      <w:r w:rsidR="00F86472" w:rsidRPr="00FB1B59">
        <w:rPr>
          <w:rFonts w:ascii="Times New Roman" w:eastAsia="Times New Roman" w:hAnsi="Times New Roman" w:cs="Times New Roman"/>
          <w:color w:val="000000"/>
          <w:sz w:val="20"/>
          <w:lang w:eastAsia="zh-CN"/>
        </w:rPr>
        <w:t xml:space="preserve"> (2) a utility scale </w:t>
      </w:r>
      <w:r w:rsidR="002372CC" w:rsidRPr="00FB1B59">
        <w:rPr>
          <w:rFonts w:ascii="Times New Roman" w:eastAsia="Times New Roman" w:hAnsi="Times New Roman" w:cs="Times New Roman"/>
          <w:color w:val="000000"/>
          <w:sz w:val="20"/>
          <w:lang w:eastAsia="zh-CN"/>
        </w:rPr>
        <w:t>battery</w:t>
      </w:r>
      <w:r w:rsidR="00FB1B59" w:rsidRPr="00FB1B59">
        <w:rPr>
          <w:rFonts w:ascii="Times New Roman" w:eastAsia="Times New Roman" w:hAnsi="Times New Roman" w:cs="Times New Roman"/>
          <w:color w:val="000000"/>
          <w:sz w:val="20"/>
          <w:lang w:eastAsia="zh-CN"/>
        </w:rPr>
        <w:t xml:space="preserve"> installation</w:t>
      </w:r>
      <w:r w:rsidR="00F86472" w:rsidRPr="00FB1B59">
        <w:rPr>
          <w:rFonts w:ascii="Times New Roman" w:eastAsia="Times New Roman" w:hAnsi="Times New Roman" w:cs="Times New Roman"/>
          <w:color w:val="000000"/>
          <w:sz w:val="20"/>
          <w:lang w:eastAsia="zh-CN"/>
        </w:rPr>
        <w:t xml:space="preserve">, and (3) </w:t>
      </w:r>
      <w:r w:rsidR="00FB1B59" w:rsidRPr="00FB1B59">
        <w:rPr>
          <w:rFonts w:ascii="Times New Roman" w:eastAsia="Times New Roman" w:hAnsi="Times New Roman" w:cs="Times New Roman"/>
          <w:color w:val="000000"/>
          <w:sz w:val="20"/>
          <w:lang w:eastAsia="zh-CN"/>
        </w:rPr>
        <w:t>a distribution voltage and v</w:t>
      </w:r>
      <w:r w:rsidR="00F86472" w:rsidRPr="00FB1B59">
        <w:rPr>
          <w:rFonts w:ascii="Times New Roman" w:eastAsia="Times New Roman" w:hAnsi="Times New Roman" w:cs="Times New Roman"/>
          <w:color w:val="000000"/>
          <w:sz w:val="20"/>
          <w:lang w:eastAsia="zh-CN"/>
        </w:rPr>
        <w:t>olt-ampere reactive (VAR) control</w:t>
      </w:r>
      <w:r w:rsidR="00FB1B59" w:rsidRPr="00FB1B59">
        <w:rPr>
          <w:rFonts w:ascii="Times New Roman" w:eastAsia="Times New Roman" w:hAnsi="Times New Roman" w:cs="Times New Roman"/>
          <w:color w:val="000000"/>
          <w:sz w:val="20"/>
          <w:lang w:eastAsia="zh-CN"/>
        </w:rPr>
        <w:t xml:space="preserve"> demonstration</w:t>
      </w:r>
      <w:r w:rsidR="00F86472" w:rsidRPr="00FB1B59">
        <w:rPr>
          <w:rFonts w:ascii="Times New Roman" w:eastAsia="Times New Roman" w:hAnsi="Times New Roman" w:cs="Times New Roman"/>
          <w:color w:val="000000"/>
          <w:sz w:val="20"/>
          <w:lang w:eastAsia="zh-CN"/>
        </w:rPr>
        <w:t>.</w:t>
      </w:r>
      <w:r w:rsidR="00F86472">
        <w:rPr>
          <w:rFonts w:ascii="Times New Roman" w:eastAsia="Times New Roman" w:hAnsi="Times New Roman" w:cs="Times New Roman"/>
          <w:color w:val="000000"/>
          <w:sz w:val="20"/>
          <w:lang w:eastAsia="zh-CN"/>
        </w:rPr>
        <w:t xml:space="preserve"> </w:t>
      </w:r>
      <w:r w:rsidR="00E6507C" w:rsidRPr="0042011B">
        <w:rPr>
          <w:rFonts w:ascii="Times New Roman" w:eastAsia="Times New Roman" w:hAnsi="Times New Roman" w:cs="Times New Roman"/>
          <w:color w:val="000000"/>
          <w:sz w:val="20"/>
          <w:lang w:eastAsia="zh-CN"/>
        </w:rPr>
        <w:t xml:space="preserve"> </w:t>
      </w:r>
    </w:p>
    <w:p w14:paraId="1A12CF74" w14:textId="1AE8D231" w:rsidR="00EB26B3" w:rsidRPr="00EB26B3" w:rsidRDefault="00EB26B3" w:rsidP="00E44A94">
      <w:pPr>
        <w:rPr>
          <w:rFonts w:ascii="Times New Roman" w:eastAsia="Times New Roman" w:hAnsi="Times New Roman" w:cs="Times New Roman"/>
          <w:color w:val="000000"/>
          <w:sz w:val="20"/>
          <w:szCs w:val="20"/>
        </w:rPr>
      </w:pPr>
      <w:r w:rsidRPr="007F033C">
        <w:rPr>
          <w:rFonts w:ascii="Times New Roman" w:eastAsia="Times New Roman" w:hAnsi="Times New Roman" w:cs="Times New Roman"/>
          <w:color w:val="000000"/>
          <w:sz w:val="20"/>
          <w:szCs w:val="20"/>
        </w:rPr>
        <w:t>The 31 km</w:t>
      </w:r>
      <w:r w:rsidRPr="007F033C">
        <w:rPr>
          <w:rFonts w:ascii="Times New Roman" w:eastAsia="Times New Roman" w:hAnsi="Times New Roman" w:cs="Times New Roman"/>
          <w:color w:val="000000"/>
          <w:sz w:val="20"/>
          <w:szCs w:val="20"/>
          <w:vertAlign w:val="superscript"/>
        </w:rPr>
        <w:t>2</w:t>
      </w:r>
      <w:r w:rsidRPr="007F033C">
        <w:rPr>
          <w:rFonts w:ascii="Times New Roman" w:eastAsia="Times New Roman" w:hAnsi="Times New Roman" w:cs="Times New Roman"/>
          <w:color w:val="000000"/>
          <w:sz w:val="20"/>
          <w:szCs w:val="20"/>
        </w:rPr>
        <w:t xml:space="preserve"> Tianjin Eco-city is planned to ultimately accommodate 350,000 residents and is the site of multiple smart grid demonstrations. Three subprojects were evaluated by </w:t>
      </w:r>
      <w:r>
        <w:rPr>
          <w:rFonts w:ascii="Times New Roman" w:eastAsia="Times New Roman" w:hAnsi="Times New Roman" w:cs="Times New Roman"/>
          <w:color w:val="000000"/>
          <w:sz w:val="20"/>
          <w:szCs w:val="20"/>
        </w:rPr>
        <w:t xml:space="preserve">the </w:t>
      </w:r>
      <w:r w:rsidRPr="007F033C">
        <w:rPr>
          <w:rFonts w:ascii="Times New Roman" w:eastAsia="Times New Roman" w:hAnsi="Times New Roman" w:cs="Times New Roman"/>
          <w:color w:val="000000"/>
          <w:sz w:val="20"/>
          <w:szCs w:val="20"/>
        </w:rPr>
        <w:t>State Grid</w:t>
      </w:r>
      <w:r>
        <w:rPr>
          <w:rFonts w:ascii="Times New Roman" w:eastAsia="Times New Roman" w:hAnsi="Times New Roman" w:cs="Times New Roman"/>
          <w:color w:val="000000"/>
          <w:sz w:val="20"/>
          <w:szCs w:val="20"/>
        </w:rPr>
        <w:t xml:space="preserve"> Corporation of China (SGCC)</w:t>
      </w:r>
      <w:r w:rsidRPr="007F033C">
        <w:rPr>
          <w:rFonts w:ascii="Times New Roman" w:eastAsia="Times New Roman" w:hAnsi="Times New Roman" w:cs="Times New Roman"/>
          <w:color w:val="000000"/>
          <w:sz w:val="20"/>
          <w:szCs w:val="20"/>
        </w:rPr>
        <w:t xml:space="preserve"> using AHP</w:t>
      </w:r>
      <w:r>
        <w:rPr>
          <w:rFonts w:ascii="Times New Roman" w:eastAsia="Times New Roman" w:hAnsi="Times New Roman" w:cs="Times New Roman"/>
          <w:sz w:val="20"/>
          <w:szCs w:val="20"/>
        </w:rPr>
        <w:t xml:space="preserve">, </w:t>
      </w:r>
      <w:r w:rsidRPr="007F033C">
        <w:rPr>
          <w:rFonts w:ascii="Times New Roman" w:eastAsiaTheme="minorEastAsia" w:hAnsi="Times New Roman" w:cs="Times New Roman"/>
          <w:sz w:val="20"/>
          <w:szCs w:val="20"/>
          <w:lang w:eastAsia="zh-CN"/>
        </w:rPr>
        <w:t xml:space="preserve">(1) a </w:t>
      </w:r>
      <w:r w:rsidRPr="007F033C">
        <w:rPr>
          <w:rFonts w:ascii="Times New Roman" w:eastAsia="Times New Roman" w:hAnsi="Times New Roman" w:cs="Times New Roman"/>
          <w:sz w:val="20"/>
          <w:szCs w:val="20"/>
        </w:rPr>
        <w:t>microgrid with energy storage, (2) a smart substation, and (3) distribution automation.</w:t>
      </w:r>
    </w:p>
    <w:p w14:paraId="780BE24D" w14:textId="5A410756" w:rsidR="00E6507C" w:rsidRPr="0042011B" w:rsidRDefault="00035A81" w:rsidP="00E44A94">
      <w:pPr>
        <w:rPr>
          <w:rFonts w:asciiTheme="majorBidi" w:hAnsiTheme="majorBidi" w:cstheme="majorBidi"/>
          <w:iCs/>
          <w:sz w:val="20"/>
          <w:szCs w:val="28"/>
          <w:lang w:eastAsia="zh-CN"/>
        </w:rPr>
      </w:pPr>
      <w:r>
        <w:rPr>
          <w:rFonts w:ascii="Times New Roman" w:eastAsia="Times New Roman" w:hAnsi="Times New Roman" w:cs="Times New Roman" w:hint="eastAsia"/>
          <w:color w:val="000000"/>
          <w:sz w:val="20"/>
          <w:lang w:eastAsia="zh-CN"/>
        </w:rPr>
        <w:t>EU</w:t>
      </w:r>
      <w:r>
        <w:rPr>
          <w:rFonts w:ascii="Times New Roman" w:eastAsia="Times New Roman" w:hAnsi="Times New Roman" w:cs="Times New Roman"/>
          <w:color w:val="000000"/>
          <w:sz w:val="20"/>
          <w:lang w:eastAsia="zh-CN"/>
        </w:rPr>
        <w:t>’</w:t>
      </w:r>
      <w:r>
        <w:rPr>
          <w:rFonts w:ascii="Times New Roman" w:hAnsi="Times New Roman" w:cs="Times New Roman"/>
          <w:sz w:val="20"/>
          <w:szCs w:val="23"/>
        </w:rPr>
        <w:t>s Joint Research Center (JRC)</w:t>
      </w:r>
      <w:r w:rsidRPr="0042011B">
        <w:rPr>
          <w:rFonts w:ascii="Times New Roman" w:hAnsi="Times New Roman" w:cs="Times New Roman"/>
          <w:sz w:val="20"/>
          <w:szCs w:val="23"/>
        </w:rPr>
        <w:t xml:space="preserve"> </w:t>
      </w:r>
      <w:r w:rsidR="00E6507C" w:rsidRPr="0042011B">
        <w:rPr>
          <w:rFonts w:ascii="Times New Roman" w:eastAsia="Times New Roman" w:hAnsi="Times New Roman" w:cs="Times New Roman"/>
          <w:color w:val="000000"/>
          <w:sz w:val="20"/>
          <w:lang w:eastAsia="zh-CN"/>
        </w:rPr>
        <w:t>adapted the EPRI method to the European context and made it more relevant by using project specific factors such as geography, typology of consumers, and regulations. JRC applie</w:t>
      </w:r>
      <w:r w:rsidR="00C20EE3" w:rsidRPr="0042011B">
        <w:rPr>
          <w:rFonts w:ascii="Times New Roman" w:eastAsia="Times New Roman" w:hAnsi="Times New Roman" w:cs="Times New Roman"/>
          <w:color w:val="000000"/>
          <w:sz w:val="20"/>
          <w:lang w:eastAsia="zh-CN"/>
        </w:rPr>
        <w:t>d</w:t>
      </w:r>
      <w:r w:rsidR="00E6507C" w:rsidRPr="0042011B">
        <w:rPr>
          <w:rFonts w:ascii="Times New Roman" w:eastAsia="Times New Roman" w:hAnsi="Times New Roman" w:cs="Times New Roman"/>
          <w:color w:val="000000"/>
          <w:sz w:val="20"/>
          <w:lang w:eastAsia="zh-CN"/>
        </w:rPr>
        <w:t xml:space="preserve"> the first application of </w:t>
      </w:r>
      <w:r>
        <w:rPr>
          <w:rFonts w:ascii="Times New Roman" w:eastAsia="Times New Roman" w:hAnsi="Times New Roman" w:cs="Times New Roman"/>
          <w:color w:val="000000"/>
          <w:sz w:val="20"/>
          <w:lang w:eastAsia="zh-CN"/>
        </w:rPr>
        <w:t>benefit-cost analysis</w:t>
      </w:r>
      <w:r w:rsidR="00E6507C" w:rsidRPr="0042011B">
        <w:rPr>
          <w:rFonts w:ascii="Times New Roman" w:eastAsia="Times New Roman" w:hAnsi="Times New Roman" w:cs="Times New Roman"/>
          <w:color w:val="000000"/>
          <w:sz w:val="20"/>
          <w:lang w:eastAsia="zh-CN"/>
        </w:rPr>
        <w:t xml:space="preserve"> to </w:t>
      </w:r>
      <w:r w:rsidR="00E6507C" w:rsidRPr="0042011B">
        <w:rPr>
          <w:rFonts w:ascii="Times New Roman" w:eastAsia="Times New Roman" w:hAnsi="Times New Roman" w:cs="Times New Roman" w:hint="eastAsia"/>
          <w:color w:val="000000"/>
          <w:sz w:val="20"/>
          <w:lang w:eastAsia="zh-CN"/>
        </w:rPr>
        <w:t>the</w:t>
      </w:r>
      <w:r w:rsidR="00E6507C" w:rsidRPr="0042011B">
        <w:rPr>
          <w:rFonts w:ascii="Times New Roman" w:eastAsia="Times New Roman" w:hAnsi="Times New Roman" w:cs="Times New Roman"/>
          <w:color w:val="000000"/>
          <w:sz w:val="20"/>
          <w:lang w:eastAsia="zh-CN"/>
        </w:rPr>
        <w:t xml:space="preserve"> </w:t>
      </w:r>
      <w:r w:rsidR="002774B9">
        <w:rPr>
          <w:rFonts w:ascii="Times New Roman" w:eastAsia="Times New Roman" w:hAnsi="Times New Roman" w:cs="Times New Roman"/>
          <w:color w:val="000000"/>
          <w:sz w:val="20"/>
          <w:lang w:eastAsia="zh-CN"/>
        </w:rPr>
        <w:t>Malag</w:t>
      </w:r>
      <w:r w:rsidRPr="003A34CF">
        <w:rPr>
          <w:rFonts w:ascii="Times New Roman" w:eastAsia="Times New Roman" w:hAnsi="Times New Roman" w:cs="Times New Roman"/>
          <w:color w:val="000000"/>
          <w:sz w:val="20"/>
          <w:lang w:eastAsia="zh-CN"/>
        </w:rPr>
        <w:t>rotta demonstration</w:t>
      </w:r>
      <w:r w:rsidR="00E6507C" w:rsidRPr="003A34CF">
        <w:rPr>
          <w:rFonts w:ascii="Times New Roman" w:eastAsia="Times New Roman" w:hAnsi="Times New Roman" w:cs="Times New Roman"/>
          <w:color w:val="000000"/>
          <w:sz w:val="20"/>
          <w:lang w:eastAsia="zh-CN"/>
        </w:rPr>
        <w:t xml:space="preserve"> project in</w:t>
      </w:r>
      <w:r w:rsidR="00E6507C" w:rsidRPr="003A34CF">
        <w:rPr>
          <w:rFonts w:ascii="Times New Roman" w:eastAsia="Times New Roman" w:hAnsi="Times New Roman" w:cs="Times New Roman" w:hint="eastAsia"/>
          <w:color w:val="000000"/>
          <w:sz w:val="20"/>
          <w:lang w:eastAsia="zh-CN"/>
        </w:rPr>
        <w:t xml:space="preserve"> Rome</w:t>
      </w:r>
      <w:r w:rsidR="003A34CF" w:rsidRPr="00FB1B59">
        <w:rPr>
          <w:rFonts w:ascii="Times New Roman" w:eastAsia="Times New Roman" w:hAnsi="Times New Roman" w:cs="Times New Roman"/>
          <w:color w:val="000000"/>
          <w:sz w:val="20"/>
          <w:lang w:eastAsia="zh-CN"/>
        </w:rPr>
        <w:t xml:space="preserve">. Three subprojects evaluated are, (1) advanced grid automation, (2) monitoring and remote control grid, and (3) new </w:t>
      </w:r>
      <w:r w:rsidR="002774B9" w:rsidRPr="00FB1B59">
        <w:rPr>
          <w:rFonts w:ascii="Times New Roman" w:eastAsia="Times New Roman" w:hAnsi="Times New Roman" w:cs="Times New Roman"/>
          <w:color w:val="000000"/>
          <w:sz w:val="20"/>
          <w:lang w:eastAsia="zh-CN"/>
        </w:rPr>
        <w:t xml:space="preserve">network </w:t>
      </w:r>
      <w:r w:rsidR="003A34CF" w:rsidRPr="00FB1B59">
        <w:rPr>
          <w:rFonts w:ascii="Times New Roman" w:eastAsia="Times New Roman" w:hAnsi="Times New Roman" w:cs="Times New Roman"/>
          <w:color w:val="000000"/>
          <w:sz w:val="20"/>
          <w:lang w:eastAsia="zh-CN"/>
        </w:rPr>
        <w:t>management criteria.</w:t>
      </w:r>
    </w:p>
    <w:p w14:paraId="3BF8CC0F" w14:textId="695F7465" w:rsidR="00E05E6E" w:rsidRPr="0042011B" w:rsidRDefault="007F033C" w:rsidP="00E05E6E">
      <w:pPr>
        <w:rPr>
          <w:rFonts w:ascii="Times New Roman" w:hAnsi="Times New Roman" w:cs="Times New Roman"/>
          <w:sz w:val="20"/>
          <w:szCs w:val="23"/>
        </w:rPr>
      </w:pPr>
      <w:r>
        <w:rPr>
          <w:rFonts w:asciiTheme="majorBidi" w:hAnsiTheme="majorBidi" w:cstheme="majorBidi"/>
          <w:sz w:val="20"/>
          <w:szCs w:val="28"/>
          <w:lang w:eastAsia="zh-CN"/>
        </w:rPr>
        <w:t xml:space="preserve">In each </w:t>
      </w:r>
      <w:r w:rsidR="00FB1B59">
        <w:rPr>
          <w:rFonts w:asciiTheme="majorBidi" w:hAnsiTheme="majorBidi" w:cstheme="majorBidi"/>
          <w:sz w:val="20"/>
          <w:szCs w:val="28"/>
          <w:lang w:eastAsia="zh-CN"/>
        </w:rPr>
        <w:t>sub-</w:t>
      </w:r>
      <w:r w:rsidR="00E05E6E">
        <w:rPr>
          <w:rFonts w:asciiTheme="majorBidi" w:hAnsiTheme="majorBidi" w:cstheme="majorBidi"/>
          <w:sz w:val="20"/>
          <w:szCs w:val="28"/>
          <w:lang w:eastAsia="zh-CN"/>
        </w:rPr>
        <w:t xml:space="preserve">project, </w:t>
      </w:r>
      <w:r>
        <w:rPr>
          <w:rFonts w:asciiTheme="majorBidi" w:hAnsiTheme="majorBidi" w:cstheme="majorBidi"/>
          <w:sz w:val="20"/>
          <w:szCs w:val="28"/>
          <w:lang w:eastAsia="zh-CN"/>
        </w:rPr>
        <w:t xml:space="preserve">factors contributing to </w:t>
      </w:r>
      <w:r w:rsidR="00E05E6E">
        <w:rPr>
          <w:rFonts w:asciiTheme="majorBidi" w:hAnsiTheme="majorBidi" w:cstheme="majorBidi"/>
          <w:sz w:val="20"/>
          <w:szCs w:val="28"/>
          <w:lang w:eastAsia="zh-CN"/>
        </w:rPr>
        <w:t>u</w:t>
      </w:r>
      <w:r w:rsidR="00E05E6E" w:rsidRPr="0042011B">
        <w:rPr>
          <w:rFonts w:ascii="Times New Roman" w:eastAsia="Times New Roman" w:hAnsi="Times New Roman" w:cs="Times New Roman"/>
          <w:color w:val="000000"/>
          <w:sz w:val="20"/>
          <w:lang w:eastAsia="zh-CN"/>
        </w:rPr>
        <w:t>ncertainty</w:t>
      </w:r>
      <w:r w:rsidR="00E05E6E">
        <w:rPr>
          <w:rFonts w:ascii="Times New Roman" w:eastAsia="Times New Roman" w:hAnsi="Times New Roman" w:cs="Times New Roman"/>
          <w:color w:val="000000"/>
          <w:sz w:val="20"/>
          <w:lang w:eastAsia="zh-CN"/>
        </w:rPr>
        <w:t xml:space="preserve"> </w:t>
      </w:r>
      <w:r w:rsidR="00793DBB">
        <w:rPr>
          <w:rFonts w:ascii="Times New Roman" w:eastAsia="Times New Roman" w:hAnsi="Times New Roman" w:cs="Times New Roman"/>
          <w:color w:val="000000"/>
          <w:sz w:val="20"/>
          <w:lang w:eastAsia="zh-CN"/>
        </w:rPr>
        <w:t>and complexity surrounding</w:t>
      </w:r>
      <w:r>
        <w:rPr>
          <w:rFonts w:ascii="Times New Roman" w:eastAsia="Times New Roman" w:hAnsi="Times New Roman" w:cs="Times New Roman"/>
          <w:color w:val="000000"/>
          <w:sz w:val="20"/>
          <w:lang w:eastAsia="zh-CN"/>
        </w:rPr>
        <w:t xml:space="preserve"> </w:t>
      </w:r>
      <w:r w:rsidR="00E05E6E">
        <w:rPr>
          <w:rFonts w:ascii="Times New Roman" w:eastAsia="Times New Roman" w:hAnsi="Times New Roman" w:cs="Times New Roman"/>
          <w:color w:val="000000"/>
          <w:sz w:val="20"/>
          <w:lang w:eastAsia="zh-CN"/>
        </w:rPr>
        <w:t xml:space="preserve">smart grid technologies and </w:t>
      </w:r>
      <w:r w:rsidR="00793DBB">
        <w:rPr>
          <w:rFonts w:ascii="Times New Roman" w:eastAsia="Times New Roman" w:hAnsi="Times New Roman" w:cs="Times New Roman"/>
          <w:color w:val="000000"/>
          <w:sz w:val="20"/>
          <w:lang w:eastAsia="zh-CN"/>
        </w:rPr>
        <w:t>the</w:t>
      </w:r>
      <w:r>
        <w:rPr>
          <w:rFonts w:ascii="Times New Roman" w:eastAsia="Times New Roman" w:hAnsi="Times New Roman" w:cs="Times New Roman"/>
          <w:color w:val="000000"/>
          <w:sz w:val="20"/>
          <w:lang w:eastAsia="zh-CN"/>
        </w:rPr>
        <w:t>ir</w:t>
      </w:r>
      <w:r w:rsidR="00E05E6E">
        <w:rPr>
          <w:rFonts w:ascii="Times New Roman" w:eastAsia="Times New Roman" w:hAnsi="Times New Roman" w:cs="Times New Roman"/>
          <w:color w:val="000000"/>
          <w:sz w:val="20"/>
          <w:lang w:eastAsia="zh-CN"/>
        </w:rPr>
        <w:t xml:space="preserve"> future benefits</w:t>
      </w:r>
      <w:r>
        <w:rPr>
          <w:rFonts w:ascii="Times New Roman" w:eastAsia="Times New Roman" w:hAnsi="Times New Roman" w:cs="Times New Roman"/>
          <w:color w:val="000000"/>
          <w:sz w:val="20"/>
          <w:lang w:eastAsia="zh-CN"/>
        </w:rPr>
        <w:t xml:space="preserve"> are explored.</w:t>
      </w:r>
      <w:r w:rsidR="00793DBB">
        <w:rPr>
          <w:rFonts w:ascii="Times New Roman" w:eastAsia="Times New Roman" w:hAnsi="Times New Roman" w:cs="Times New Roman"/>
          <w:color w:val="000000"/>
          <w:sz w:val="20"/>
          <w:lang w:eastAsia="zh-CN"/>
        </w:rPr>
        <w:t xml:space="preserve"> </w:t>
      </w:r>
      <w:r>
        <w:rPr>
          <w:rFonts w:ascii="Times New Roman" w:eastAsia="Times New Roman" w:hAnsi="Times New Roman" w:cs="Times New Roman"/>
          <w:color w:val="000000"/>
          <w:sz w:val="20"/>
          <w:lang w:eastAsia="zh-CN"/>
        </w:rPr>
        <w:t>Results and</w:t>
      </w:r>
      <w:r w:rsidR="00241AA4">
        <w:rPr>
          <w:rFonts w:ascii="Times New Roman" w:eastAsia="Times New Roman" w:hAnsi="Times New Roman" w:cs="Times New Roman"/>
          <w:color w:val="000000"/>
          <w:sz w:val="20"/>
          <w:lang w:eastAsia="zh-CN"/>
        </w:rPr>
        <w:t xml:space="preserve"> performance of </w:t>
      </w:r>
      <w:r>
        <w:rPr>
          <w:rFonts w:ascii="Times New Roman" w:eastAsia="Times New Roman" w:hAnsi="Times New Roman" w:cs="Times New Roman"/>
          <w:color w:val="000000"/>
          <w:sz w:val="20"/>
          <w:lang w:eastAsia="zh-CN"/>
        </w:rPr>
        <w:t xml:space="preserve">the </w:t>
      </w:r>
      <w:r w:rsidR="00241AA4">
        <w:rPr>
          <w:rFonts w:ascii="Times New Roman" w:eastAsia="Times New Roman" w:hAnsi="Times New Roman" w:cs="Times New Roman"/>
          <w:color w:val="000000"/>
          <w:sz w:val="20"/>
          <w:lang w:eastAsia="zh-CN"/>
        </w:rPr>
        <w:t>EPRI and</w:t>
      </w:r>
      <w:r w:rsidR="00793DBB">
        <w:rPr>
          <w:rFonts w:ascii="Times New Roman" w:eastAsia="Times New Roman" w:hAnsi="Times New Roman" w:cs="Times New Roman"/>
          <w:color w:val="000000"/>
          <w:sz w:val="20"/>
          <w:lang w:eastAsia="zh-CN"/>
        </w:rPr>
        <w:t xml:space="preserve"> AHP </w:t>
      </w:r>
      <w:r w:rsidR="00241AA4">
        <w:rPr>
          <w:rFonts w:ascii="Times New Roman" w:eastAsia="Times New Roman" w:hAnsi="Times New Roman" w:cs="Times New Roman"/>
          <w:color w:val="000000"/>
          <w:sz w:val="20"/>
          <w:lang w:eastAsia="zh-CN"/>
        </w:rPr>
        <w:t xml:space="preserve">methods </w:t>
      </w:r>
      <w:r>
        <w:rPr>
          <w:rFonts w:ascii="Times New Roman" w:eastAsia="Times New Roman" w:hAnsi="Times New Roman" w:cs="Times New Roman"/>
          <w:color w:val="000000"/>
          <w:sz w:val="20"/>
          <w:lang w:eastAsia="zh-CN"/>
        </w:rPr>
        <w:t>are compared, and ability to</w:t>
      </w:r>
      <w:r w:rsidR="00793DBB">
        <w:rPr>
          <w:rFonts w:ascii="Times New Roman" w:eastAsia="Times New Roman" w:hAnsi="Times New Roman" w:cs="Times New Roman"/>
          <w:color w:val="000000"/>
          <w:sz w:val="20"/>
          <w:lang w:eastAsia="zh-CN"/>
        </w:rPr>
        <w:t xml:space="preserve"> </w:t>
      </w:r>
      <w:r>
        <w:rPr>
          <w:rFonts w:ascii="Times New Roman" w:eastAsia="Times New Roman" w:hAnsi="Times New Roman" w:cs="Times New Roman"/>
          <w:color w:val="000000"/>
          <w:sz w:val="20"/>
          <w:lang w:eastAsia="zh-CN"/>
        </w:rPr>
        <w:t>accommodate</w:t>
      </w:r>
      <w:r w:rsidR="00793DBB">
        <w:rPr>
          <w:rFonts w:ascii="Times New Roman" w:eastAsia="Times New Roman" w:hAnsi="Times New Roman" w:cs="Times New Roman"/>
          <w:color w:val="000000"/>
          <w:sz w:val="20"/>
          <w:lang w:eastAsia="zh-CN"/>
        </w:rPr>
        <w:t xml:space="preserve"> uncertainty</w:t>
      </w:r>
      <w:r>
        <w:rPr>
          <w:rFonts w:ascii="Times New Roman" w:eastAsia="Times New Roman" w:hAnsi="Times New Roman" w:cs="Times New Roman"/>
          <w:color w:val="000000"/>
          <w:sz w:val="20"/>
          <w:lang w:eastAsia="zh-CN"/>
        </w:rPr>
        <w:t xml:space="preserve"> explored</w:t>
      </w:r>
      <w:r w:rsidR="00793DBB">
        <w:rPr>
          <w:rFonts w:ascii="Times New Roman" w:eastAsia="Times New Roman" w:hAnsi="Times New Roman" w:cs="Times New Roman"/>
          <w:color w:val="000000"/>
          <w:sz w:val="20"/>
          <w:lang w:eastAsia="zh-CN"/>
        </w:rPr>
        <w:t>.</w:t>
      </w:r>
    </w:p>
    <w:p w14:paraId="52B931B1" w14:textId="77777777" w:rsidR="00E44A94" w:rsidRPr="00E6507C" w:rsidRDefault="00E6507C" w:rsidP="0042011B">
      <w:pPr>
        <w:pStyle w:val="Heading2"/>
        <w:spacing w:before="240" w:after="60"/>
        <w:ind w:left="-810" w:firstLine="810"/>
        <w:rPr>
          <w:rFonts w:ascii="Arial" w:hAnsi="Arial"/>
          <w:bCs w:val="0"/>
          <w:lang w:val="en-GB"/>
        </w:rPr>
      </w:pPr>
      <w:r>
        <w:rPr>
          <w:rFonts w:ascii="Arial" w:hAnsi="Arial"/>
          <w:bCs w:val="0"/>
          <w:lang w:val="en-GB"/>
        </w:rPr>
        <w:t>Conclusion</w:t>
      </w:r>
    </w:p>
    <w:p w14:paraId="25B42FC4" w14:textId="42727211" w:rsidR="00E44A94" w:rsidRDefault="00E6507C">
      <w:pPr>
        <w:rPr>
          <w:rFonts w:ascii="Times New Roman" w:eastAsia="Times New Roman" w:hAnsi="Times New Roman" w:cs="Times New Roman"/>
          <w:sz w:val="20"/>
        </w:rPr>
      </w:pPr>
      <w:r w:rsidRPr="0042011B">
        <w:rPr>
          <w:rFonts w:ascii="Times New Roman" w:eastAsia="Times New Roman" w:hAnsi="Times New Roman" w:cs="Times New Roman"/>
          <w:color w:val="000000"/>
          <w:sz w:val="20"/>
        </w:rPr>
        <w:t xml:space="preserve">This exercise was </w:t>
      </w:r>
      <w:r w:rsidR="00E41E1F" w:rsidRPr="0042011B">
        <w:rPr>
          <w:rFonts w:ascii="Times New Roman" w:eastAsia="Times New Roman" w:hAnsi="Times New Roman" w:cs="Times New Roman"/>
          <w:color w:val="000000"/>
          <w:sz w:val="20"/>
        </w:rPr>
        <w:t>performed</w:t>
      </w:r>
      <w:r w:rsidRPr="0042011B">
        <w:rPr>
          <w:rFonts w:ascii="Times New Roman" w:eastAsia="Times New Roman" w:hAnsi="Times New Roman" w:cs="Times New Roman"/>
          <w:color w:val="000000"/>
          <w:sz w:val="20"/>
        </w:rPr>
        <w:t xml:space="preserve"> within a </w:t>
      </w:r>
      <w:r w:rsidR="00E41E1F" w:rsidRPr="0042011B">
        <w:rPr>
          <w:rFonts w:ascii="Times New Roman" w:eastAsia="Times New Roman" w:hAnsi="Times New Roman" w:cs="Times New Roman"/>
          <w:color w:val="000000"/>
          <w:sz w:val="20"/>
        </w:rPr>
        <w:t xml:space="preserve">joint </w:t>
      </w:r>
      <w:r w:rsidR="007F033C">
        <w:rPr>
          <w:rFonts w:ascii="Times New Roman" w:eastAsia="Times New Roman" w:hAnsi="Times New Roman" w:cs="Times New Roman"/>
          <w:color w:val="000000"/>
          <w:sz w:val="20"/>
        </w:rPr>
        <w:t xml:space="preserve">research </w:t>
      </w:r>
      <w:r w:rsidR="00E41E1F" w:rsidRPr="0042011B">
        <w:rPr>
          <w:rFonts w:ascii="Times New Roman" w:eastAsia="Times New Roman" w:hAnsi="Times New Roman" w:cs="Times New Roman"/>
          <w:color w:val="000000"/>
          <w:sz w:val="20"/>
        </w:rPr>
        <w:t>effort</w:t>
      </w:r>
      <w:r w:rsidR="00035A81">
        <w:rPr>
          <w:rFonts w:ascii="Times New Roman" w:eastAsia="Times New Roman" w:hAnsi="Times New Roman" w:cs="Times New Roman"/>
          <w:color w:val="000000"/>
          <w:sz w:val="20"/>
        </w:rPr>
        <w:t xml:space="preserve"> </w:t>
      </w:r>
      <w:r w:rsidR="00EB26B3">
        <w:rPr>
          <w:rFonts w:ascii="Times New Roman" w:eastAsia="Times New Roman" w:hAnsi="Times New Roman" w:cs="Times New Roman"/>
          <w:color w:val="000000"/>
          <w:sz w:val="20"/>
        </w:rPr>
        <w:t>by LBNL, SGCC</w:t>
      </w:r>
      <w:r w:rsidR="00FB1B59">
        <w:rPr>
          <w:rFonts w:ascii="Times New Roman" w:eastAsia="Times New Roman" w:hAnsi="Times New Roman" w:cs="Times New Roman"/>
          <w:color w:val="000000"/>
          <w:sz w:val="20"/>
        </w:rPr>
        <w:t>, and JRC</w:t>
      </w:r>
      <w:r w:rsidR="007F033C">
        <w:rPr>
          <w:rFonts w:ascii="Times New Roman" w:eastAsia="Times New Roman" w:hAnsi="Times New Roman" w:cs="Times New Roman"/>
          <w:color w:val="000000"/>
          <w:sz w:val="20"/>
        </w:rPr>
        <w:t xml:space="preserve"> </w:t>
      </w:r>
      <w:r w:rsidR="003A34CF">
        <w:rPr>
          <w:rFonts w:ascii="Times New Roman" w:eastAsia="Times New Roman" w:hAnsi="Times New Roman" w:cs="Times New Roman"/>
          <w:color w:val="000000"/>
          <w:sz w:val="20"/>
        </w:rPr>
        <w:t>and</w:t>
      </w:r>
      <w:r w:rsidRPr="0042011B">
        <w:rPr>
          <w:rFonts w:ascii="Times New Roman" w:eastAsia="Times New Roman" w:hAnsi="Times New Roman" w:cs="Times New Roman"/>
          <w:color w:val="000000"/>
          <w:sz w:val="20"/>
        </w:rPr>
        <w:t xml:space="preserve"> aims to </w:t>
      </w:r>
      <w:r w:rsidRPr="00793DBB">
        <w:rPr>
          <w:rFonts w:ascii="Times New Roman" w:eastAsia="Times New Roman" w:hAnsi="Times New Roman" w:cs="Times New Roman"/>
          <w:sz w:val="20"/>
        </w:rPr>
        <w:t>demonst</w:t>
      </w:r>
      <w:r w:rsidR="00EB26B3">
        <w:rPr>
          <w:rFonts w:ascii="Times New Roman" w:eastAsia="Times New Roman" w:hAnsi="Times New Roman" w:cs="Times New Roman"/>
          <w:sz w:val="20"/>
        </w:rPr>
        <w:t>rate, compare, and evaluate B-C analyses</w:t>
      </w:r>
      <w:r w:rsidR="00E93F48">
        <w:rPr>
          <w:rFonts w:ascii="Times New Roman" w:eastAsia="Times New Roman" w:hAnsi="Times New Roman" w:cs="Times New Roman"/>
          <w:sz w:val="20"/>
        </w:rPr>
        <w:t xml:space="preserve"> </w:t>
      </w:r>
      <w:r w:rsidR="00695E5F">
        <w:rPr>
          <w:rFonts w:ascii="Times New Roman" w:eastAsia="Times New Roman" w:hAnsi="Times New Roman" w:cs="Times New Roman"/>
          <w:sz w:val="20"/>
        </w:rPr>
        <w:t>conducted for</w:t>
      </w:r>
      <w:r w:rsidRPr="0042011B">
        <w:rPr>
          <w:rFonts w:ascii="Times New Roman" w:eastAsia="Times New Roman" w:hAnsi="Times New Roman" w:cs="Times New Roman"/>
          <w:sz w:val="20"/>
        </w:rPr>
        <w:t xml:space="preserve"> three </w:t>
      </w:r>
      <w:r w:rsidR="00EB26B3">
        <w:rPr>
          <w:rFonts w:ascii="Times New Roman" w:eastAsia="Times New Roman" w:hAnsi="Times New Roman" w:cs="Times New Roman"/>
          <w:sz w:val="20"/>
        </w:rPr>
        <w:t>actual</w:t>
      </w:r>
      <w:r w:rsidRPr="0042011B">
        <w:rPr>
          <w:rFonts w:ascii="Times New Roman" w:eastAsia="Times New Roman" w:hAnsi="Times New Roman" w:cs="Times New Roman"/>
          <w:sz w:val="20"/>
        </w:rPr>
        <w:t xml:space="preserve"> </w:t>
      </w:r>
      <w:r w:rsidR="0042011B">
        <w:rPr>
          <w:rFonts w:ascii="Times New Roman" w:eastAsia="Times New Roman" w:hAnsi="Times New Roman" w:cs="Times New Roman"/>
          <w:sz w:val="20"/>
        </w:rPr>
        <w:t xml:space="preserve">smart grid </w:t>
      </w:r>
      <w:r w:rsidR="00EB26B3">
        <w:rPr>
          <w:rFonts w:ascii="Times New Roman" w:eastAsia="Times New Roman" w:hAnsi="Times New Roman" w:cs="Times New Roman"/>
          <w:sz w:val="20"/>
        </w:rPr>
        <w:t xml:space="preserve">demonstration </w:t>
      </w:r>
      <w:r w:rsidR="0042011B">
        <w:rPr>
          <w:rFonts w:ascii="Times New Roman" w:eastAsia="Times New Roman" w:hAnsi="Times New Roman" w:cs="Times New Roman"/>
          <w:sz w:val="20"/>
        </w:rPr>
        <w:t>projects</w:t>
      </w:r>
      <w:r w:rsidRPr="0042011B">
        <w:rPr>
          <w:rFonts w:ascii="Times New Roman" w:eastAsia="Times New Roman" w:hAnsi="Times New Roman" w:cs="Times New Roman"/>
          <w:sz w:val="20"/>
        </w:rPr>
        <w:t>.</w:t>
      </w:r>
      <w:r w:rsidR="0075746F" w:rsidRPr="0042011B">
        <w:rPr>
          <w:rFonts w:ascii="Times New Roman" w:eastAsia="Times New Roman" w:hAnsi="Times New Roman" w:cs="Times New Roman"/>
          <w:sz w:val="20"/>
        </w:rPr>
        <w:t xml:space="preserve"> </w:t>
      </w:r>
      <w:r w:rsidR="00B035E3">
        <w:rPr>
          <w:rFonts w:ascii="Times New Roman" w:eastAsia="Times New Roman" w:hAnsi="Times New Roman" w:cs="Times New Roman"/>
          <w:sz w:val="20"/>
        </w:rPr>
        <w:t xml:space="preserve">A deep understanding of </w:t>
      </w:r>
      <w:r w:rsidR="003C239B">
        <w:rPr>
          <w:rFonts w:ascii="Times New Roman" w:eastAsia="Times New Roman" w:hAnsi="Times New Roman" w:cs="Times New Roman"/>
          <w:sz w:val="20"/>
        </w:rPr>
        <w:t>B-C analysis</w:t>
      </w:r>
      <w:r w:rsidR="00E93F48">
        <w:rPr>
          <w:rFonts w:ascii="Times New Roman" w:eastAsia="Times New Roman" w:hAnsi="Times New Roman" w:cs="Times New Roman"/>
          <w:sz w:val="20"/>
        </w:rPr>
        <w:t xml:space="preserve"> methods</w:t>
      </w:r>
      <w:r w:rsidR="00241AA4">
        <w:rPr>
          <w:rFonts w:ascii="Times New Roman" w:eastAsia="Times New Roman" w:hAnsi="Times New Roman" w:cs="Times New Roman"/>
          <w:sz w:val="20"/>
        </w:rPr>
        <w:t xml:space="preserve"> </w:t>
      </w:r>
      <w:r w:rsidR="00B035E3">
        <w:rPr>
          <w:rFonts w:ascii="Times New Roman" w:eastAsia="Times New Roman" w:hAnsi="Times New Roman" w:cs="Times New Roman"/>
          <w:sz w:val="20"/>
        </w:rPr>
        <w:t>and their strength</w:t>
      </w:r>
      <w:r w:rsidR="00EB26B3">
        <w:rPr>
          <w:rFonts w:ascii="Times New Roman" w:eastAsia="Times New Roman" w:hAnsi="Times New Roman" w:cs="Times New Roman"/>
          <w:sz w:val="20"/>
        </w:rPr>
        <w:t>s</w:t>
      </w:r>
      <w:r w:rsidR="00B035E3">
        <w:rPr>
          <w:rFonts w:ascii="Times New Roman" w:eastAsia="Times New Roman" w:hAnsi="Times New Roman" w:cs="Times New Roman"/>
          <w:sz w:val="20"/>
        </w:rPr>
        <w:t xml:space="preserve"> and weaknesses will be </w:t>
      </w:r>
      <w:r w:rsidR="00241AA4">
        <w:rPr>
          <w:rFonts w:ascii="Times New Roman" w:eastAsia="Times New Roman" w:hAnsi="Times New Roman" w:cs="Times New Roman"/>
          <w:sz w:val="20"/>
        </w:rPr>
        <w:t>critical</w:t>
      </w:r>
      <w:r w:rsidR="00EB26B3">
        <w:rPr>
          <w:rFonts w:ascii="Times New Roman" w:eastAsia="Times New Roman" w:hAnsi="Times New Roman" w:cs="Times New Roman"/>
          <w:sz w:val="20"/>
        </w:rPr>
        <w:t xml:space="preserve"> to</w:t>
      </w:r>
      <w:r w:rsidR="00B035E3">
        <w:rPr>
          <w:rFonts w:ascii="Times New Roman" w:eastAsia="Times New Roman" w:hAnsi="Times New Roman" w:cs="Times New Roman"/>
          <w:sz w:val="20"/>
        </w:rPr>
        <w:t xml:space="preserve"> </w:t>
      </w:r>
      <w:r w:rsidR="00EB26B3">
        <w:rPr>
          <w:rFonts w:ascii="Times New Roman" w:eastAsia="Times New Roman" w:hAnsi="Times New Roman" w:cs="Times New Roman"/>
          <w:sz w:val="20"/>
        </w:rPr>
        <w:t xml:space="preserve">smart grid deployment </w:t>
      </w:r>
      <w:r w:rsidR="00B035E3">
        <w:rPr>
          <w:rFonts w:ascii="Times New Roman" w:eastAsia="Times New Roman" w:hAnsi="Times New Roman" w:cs="Times New Roman"/>
          <w:sz w:val="20"/>
        </w:rPr>
        <w:t>decision</w:t>
      </w:r>
      <w:r w:rsidR="00EB26B3">
        <w:rPr>
          <w:rFonts w:ascii="Times New Roman" w:eastAsia="Times New Roman" w:hAnsi="Times New Roman" w:cs="Times New Roman"/>
          <w:sz w:val="20"/>
        </w:rPr>
        <w:t>-making by</w:t>
      </w:r>
      <w:r w:rsidR="00E93F48">
        <w:rPr>
          <w:rFonts w:ascii="Times New Roman" w:eastAsia="Times New Roman" w:hAnsi="Times New Roman" w:cs="Times New Roman"/>
          <w:sz w:val="20"/>
        </w:rPr>
        <w:t xml:space="preserve"> </w:t>
      </w:r>
      <w:r w:rsidR="00241AA4">
        <w:rPr>
          <w:rFonts w:ascii="Times New Roman" w:eastAsia="Times New Roman" w:hAnsi="Times New Roman" w:cs="Times New Roman"/>
          <w:sz w:val="20"/>
        </w:rPr>
        <w:t>governments</w:t>
      </w:r>
      <w:r w:rsidR="00E93F48">
        <w:rPr>
          <w:rFonts w:ascii="Times New Roman" w:eastAsia="Times New Roman" w:hAnsi="Times New Roman" w:cs="Times New Roman"/>
          <w:sz w:val="20"/>
        </w:rPr>
        <w:t xml:space="preserve"> and industries</w:t>
      </w:r>
      <w:r w:rsidR="00FB1B59">
        <w:rPr>
          <w:rFonts w:ascii="Times New Roman" w:eastAsia="Times New Roman" w:hAnsi="Times New Roman" w:cs="Times New Roman"/>
          <w:sz w:val="20"/>
        </w:rPr>
        <w:t xml:space="preserve">. </w:t>
      </w:r>
      <w:r w:rsidR="00D87143">
        <w:rPr>
          <w:rFonts w:ascii="Times New Roman" w:eastAsia="Times New Roman" w:hAnsi="Times New Roman" w:cs="Times New Roman"/>
          <w:sz w:val="20"/>
        </w:rPr>
        <w:t>Evaluating</w:t>
      </w:r>
      <w:r w:rsidR="00FB1B59">
        <w:rPr>
          <w:rFonts w:ascii="Times New Roman" w:eastAsia="Times New Roman" w:hAnsi="Times New Roman" w:cs="Times New Roman"/>
          <w:sz w:val="20"/>
        </w:rPr>
        <w:t xml:space="preserve"> these methods from a multi-country perspective </w:t>
      </w:r>
      <w:r w:rsidR="00D87143">
        <w:rPr>
          <w:rFonts w:ascii="Times New Roman" w:eastAsia="Times New Roman" w:hAnsi="Times New Roman" w:cs="Times New Roman"/>
          <w:sz w:val="20"/>
        </w:rPr>
        <w:t>will facilitate future assessments and comparisons of results internationally.</w:t>
      </w:r>
    </w:p>
    <w:p w14:paraId="0C992B3A" w14:textId="77777777" w:rsidR="00E93F48" w:rsidRPr="00E6507C" w:rsidRDefault="00E93F48" w:rsidP="00E93F48">
      <w:pPr>
        <w:pStyle w:val="Heading2"/>
        <w:spacing w:before="240" w:after="60"/>
        <w:ind w:left="-810" w:firstLine="810"/>
        <w:rPr>
          <w:rFonts w:ascii="Arial" w:hAnsi="Arial"/>
          <w:bCs w:val="0"/>
          <w:lang w:val="en-GB"/>
        </w:rPr>
      </w:pPr>
      <w:r>
        <w:rPr>
          <w:rFonts w:ascii="Arial" w:hAnsi="Arial"/>
          <w:bCs w:val="0"/>
          <w:lang w:val="en-GB"/>
        </w:rPr>
        <w:t>References</w:t>
      </w:r>
    </w:p>
    <w:p w14:paraId="6B1C0C4F" w14:textId="77777777" w:rsidR="00695E5F" w:rsidRDefault="00695E5F" w:rsidP="00695E5F">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Bhushan N., Rai, K., 2009. Strategic decision making-applying the analytic hierarchy process. </w:t>
      </w:r>
      <w:r w:rsidRPr="00AD4BAB">
        <w:rPr>
          <w:rFonts w:ascii="Times New Roman" w:eastAsia="Times New Roman" w:hAnsi="Times New Roman" w:cs="Times New Roman"/>
          <w:sz w:val="20"/>
        </w:rPr>
        <w:t>Springer International Edition.</w:t>
      </w:r>
    </w:p>
    <w:p w14:paraId="2E113467" w14:textId="77777777" w:rsidR="00695E5F" w:rsidRDefault="00695E5F" w:rsidP="00695E5F">
      <w:pPr>
        <w:spacing w:after="0"/>
        <w:rPr>
          <w:rFonts w:ascii="Times New Roman" w:eastAsia="Times New Roman" w:hAnsi="Times New Roman" w:cs="Times New Roman"/>
          <w:sz w:val="20"/>
        </w:rPr>
      </w:pPr>
      <w:r w:rsidRPr="00695E5F">
        <w:rPr>
          <w:rFonts w:ascii="Times New Roman" w:eastAsia="Times New Roman" w:hAnsi="Times New Roman" w:cs="Times New Roman"/>
          <w:sz w:val="20"/>
        </w:rPr>
        <w:t xml:space="preserve">Electric Power Research Institute (EPRI), 2010. Methodological approach for estimating the benefits and costs of smart grid demonstration projects. Palo Alto, CA. Can be downloaded at: </w:t>
      </w:r>
      <w:hyperlink r:id="rId15" w:history="1">
        <w:r w:rsidRPr="00695E5F">
          <w:rPr>
            <w:rFonts w:ascii="Times New Roman" w:eastAsia="Times New Roman" w:hAnsi="Times New Roman" w:cs="Times New Roman"/>
            <w:sz w:val="20"/>
          </w:rPr>
          <w:t>https://www.smartgrid.gov/sites/default/files/doc/files/Methodological_Approach_for_Estimating_Benefits_Costs_Smart_201007.pdf</w:t>
        </w:r>
      </w:hyperlink>
    </w:p>
    <w:p w14:paraId="65141714" w14:textId="77777777" w:rsidR="00A23AB8" w:rsidRDefault="00A23AB8" w:rsidP="00AD4BAB">
      <w:pPr>
        <w:spacing w:after="0"/>
        <w:rPr>
          <w:rFonts w:ascii="Times New Roman" w:eastAsia="Times New Roman" w:hAnsi="Times New Roman" w:cs="Times New Roman"/>
          <w:sz w:val="20"/>
        </w:rPr>
      </w:pPr>
      <w:r w:rsidRPr="00A23AB8">
        <w:rPr>
          <w:rFonts w:ascii="Times New Roman" w:eastAsia="Times New Roman" w:hAnsi="Times New Roman" w:cs="Times New Roman"/>
          <w:sz w:val="20"/>
        </w:rPr>
        <w:t>Marnay, C., Lai, J., 2012. Serving electricity and heat requirements efficiently and with appropriate energy quality via microgrids. Electricity Journal. 25(8).</w:t>
      </w:r>
    </w:p>
    <w:p w14:paraId="4EC634EE" w14:textId="77777777" w:rsidR="00695E5F" w:rsidRDefault="00695E5F" w:rsidP="00695E5F">
      <w:pPr>
        <w:spacing w:after="0"/>
        <w:rPr>
          <w:rFonts w:ascii="Times New Roman" w:eastAsia="Times New Roman" w:hAnsi="Times New Roman" w:cs="Times New Roman"/>
          <w:sz w:val="20"/>
        </w:rPr>
      </w:pPr>
      <w:r w:rsidRPr="00A23AB8">
        <w:rPr>
          <w:rFonts w:ascii="Times New Roman" w:eastAsia="Times New Roman" w:hAnsi="Times New Roman" w:cs="Times New Roman"/>
          <w:sz w:val="20"/>
        </w:rPr>
        <w:t>Tapscott, D., 1995. The digital economy: promise and peril in the age of networked intelligence. McGraw Hill, New York, NY.</w:t>
      </w:r>
    </w:p>
    <w:p w14:paraId="24E9600F" w14:textId="77777777" w:rsidR="00A23AB8" w:rsidRDefault="00A23AB8">
      <w:pPr>
        <w:rPr>
          <w:rFonts w:ascii="Times New Roman" w:eastAsia="Times New Roman" w:hAnsi="Times New Roman" w:cs="Times New Roman"/>
          <w:sz w:val="20"/>
        </w:rPr>
      </w:pPr>
    </w:p>
    <w:p w14:paraId="2816F1DF" w14:textId="77777777" w:rsidR="00035A81" w:rsidRPr="00A23AB8" w:rsidRDefault="00035A81">
      <w:pPr>
        <w:rPr>
          <w:rFonts w:ascii="Times New Roman" w:eastAsia="Times New Roman" w:hAnsi="Times New Roman" w:cs="Times New Roman"/>
          <w:sz w:val="20"/>
        </w:rPr>
      </w:pPr>
    </w:p>
    <w:sectPr w:rsidR="00035A81" w:rsidRPr="00A23AB8">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295B4" w14:textId="77777777" w:rsidR="006870F3" w:rsidRDefault="006870F3" w:rsidP="00035A81">
      <w:pPr>
        <w:spacing w:after="0" w:line="240" w:lineRule="auto"/>
      </w:pPr>
      <w:r>
        <w:separator/>
      </w:r>
    </w:p>
  </w:endnote>
  <w:endnote w:type="continuationSeparator" w:id="0">
    <w:p w14:paraId="3065724C" w14:textId="77777777" w:rsidR="006870F3" w:rsidRDefault="006870F3" w:rsidP="0003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0BF6" w14:textId="77777777" w:rsidR="00FB1B59" w:rsidRDefault="00FB1B59" w:rsidP="00FB1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EE90A" w14:textId="77777777" w:rsidR="00FB1B59" w:rsidRDefault="00FB1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8A5B" w14:textId="77777777" w:rsidR="00FB1B59" w:rsidRDefault="00FB1B59" w:rsidP="00FB1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20B">
      <w:rPr>
        <w:rStyle w:val="PageNumber"/>
        <w:noProof/>
      </w:rPr>
      <w:t>1</w:t>
    </w:r>
    <w:r>
      <w:rPr>
        <w:rStyle w:val="PageNumber"/>
      </w:rPr>
      <w:fldChar w:fldCharType="end"/>
    </w:r>
  </w:p>
  <w:p w14:paraId="64260311" w14:textId="77777777" w:rsidR="00FB1B59" w:rsidRDefault="00FB1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AB2C0" w14:textId="77777777" w:rsidR="006870F3" w:rsidRDefault="006870F3" w:rsidP="00035A81">
      <w:pPr>
        <w:spacing w:after="0" w:line="240" w:lineRule="auto"/>
      </w:pPr>
      <w:r>
        <w:separator/>
      </w:r>
    </w:p>
  </w:footnote>
  <w:footnote w:type="continuationSeparator" w:id="0">
    <w:p w14:paraId="0527A0B3" w14:textId="77777777" w:rsidR="006870F3" w:rsidRDefault="006870F3" w:rsidP="00035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15001"/>
    <w:multiLevelType w:val="hybridMultilevel"/>
    <w:tmpl w:val="105A8E4A"/>
    <w:lvl w:ilvl="0" w:tplc="23A25AF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95C8F"/>
    <w:rsid w:val="00035A81"/>
    <w:rsid w:val="000451A3"/>
    <w:rsid w:val="00054BF5"/>
    <w:rsid w:val="000623B7"/>
    <w:rsid w:val="00095C8F"/>
    <w:rsid w:val="000E1E45"/>
    <w:rsid w:val="002179DF"/>
    <w:rsid w:val="002372CC"/>
    <w:rsid w:val="00241AA4"/>
    <w:rsid w:val="002774B9"/>
    <w:rsid w:val="00332D6A"/>
    <w:rsid w:val="003336A7"/>
    <w:rsid w:val="00362CD2"/>
    <w:rsid w:val="003A34CF"/>
    <w:rsid w:val="003C239B"/>
    <w:rsid w:val="003E3370"/>
    <w:rsid w:val="0042011B"/>
    <w:rsid w:val="004E2692"/>
    <w:rsid w:val="004F3D94"/>
    <w:rsid w:val="00556B05"/>
    <w:rsid w:val="005C7441"/>
    <w:rsid w:val="005E4E17"/>
    <w:rsid w:val="00600B40"/>
    <w:rsid w:val="00604735"/>
    <w:rsid w:val="0061603D"/>
    <w:rsid w:val="006870F3"/>
    <w:rsid w:val="00695E5F"/>
    <w:rsid w:val="00704C21"/>
    <w:rsid w:val="0072413D"/>
    <w:rsid w:val="0075746F"/>
    <w:rsid w:val="007861DE"/>
    <w:rsid w:val="00793DBB"/>
    <w:rsid w:val="007B39E6"/>
    <w:rsid w:val="007E77EB"/>
    <w:rsid w:val="007F033C"/>
    <w:rsid w:val="00896FC5"/>
    <w:rsid w:val="008A3EE6"/>
    <w:rsid w:val="00A03F4C"/>
    <w:rsid w:val="00A125FD"/>
    <w:rsid w:val="00A16959"/>
    <w:rsid w:val="00A23AB8"/>
    <w:rsid w:val="00A261FB"/>
    <w:rsid w:val="00A45031"/>
    <w:rsid w:val="00A70664"/>
    <w:rsid w:val="00AD4BAB"/>
    <w:rsid w:val="00B035E3"/>
    <w:rsid w:val="00B77A28"/>
    <w:rsid w:val="00BD4E93"/>
    <w:rsid w:val="00BD5B88"/>
    <w:rsid w:val="00BE0720"/>
    <w:rsid w:val="00C20CAB"/>
    <w:rsid w:val="00C20EE3"/>
    <w:rsid w:val="00CA0F32"/>
    <w:rsid w:val="00CD0F5D"/>
    <w:rsid w:val="00D34F8D"/>
    <w:rsid w:val="00D7320B"/>
    <w:rsid w:val="00D811CC"/>
    <w:rsid w:val="00D81F4B"/>
    <w:rsid w:val="00D87143"/>
    <w:rsid w:val="00DC0617"/>
    <w:rsid w:val="00E05E6E"/>
    <w:rsid w:val="00E41E1F"/>
    <w:rsid w:val="00E44A94"/>
    <w:rsid w:val="00E6507C"/>
    <w:rsid w:val="00E93F48"/>
    <w:rsid w:val="00EB26B3"/>
    <w:rsid w:val="00F0272F"/>
    <w:rsid w:val="00F84666"/>
    <w:rsid w:val="00F86472"/>
    <w:rsid w:val="00FB1B59"/>
    <w:rsid w:val="00FD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BF17A"/>
  <w15:docId w15:val="{E2A36899-2262-4E74-B23E-8976281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C0617"/>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0617"/>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CD0F5D"/>
    <w:pPr>
      <w:spacing w:after="200" w:line="240" w:lineRule="auto"/>
    </w:pPr>
    <w:rPr>
      <w:rFonts w:eastAsiaTheme="minorEastAsia"/>
      <w:b/>
      <w:bCs/>
      <w:color w:val="5B9BD5" w:themeColor="accent1"/>
      <w:sz w:val="18"/>
      <w:szCs w:val="18"/>
    </w:rPr>
  </w:style>
  <w:style w:type="paragraph" w:styleId="BodyText">
    <w:name w:val="Body Text"/>
    <w:basedOn w:val="Normal"/>
    <w:link w:val="BodyTextChar"/>
    <w:rsid w:val="00D34F8D"/>
    <w:pPr>
      <w:spacing w:after="0" w:line="240" w:lineRule="auto"/>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D34F8D"/>
    <w:rPr>
      <w:rFonts w:ascii="Times New Roman" w:eastAsia="Times New Roman" w:hAnsi="Times New Roman" w:cs="Times New Roman"/>
      <w:szCs w:val="20"/>
      <w:lang w:val="en-GB"/>
    </w:rPr>
  </w:style>
  <w:style w:type="character" w:styleId="Hyperlink">
    <w:name w:val="Hyperlink"/>
    <w:rsid w:val="00D34F8D"/>
    <w:rPr>
      <w:color w:val="0000FF"/>
      <w:u w:val="single"/>
    </w:rPr>
  </w:style>
  <w:style w:type="paragraph" w:styleId="Header">
    <w:name w:val="header"/>
    <w:basedOn w:val="Normal"/>
    <w:link w:val="HeaderChar"/>
    <w:uiPriority w:val="99"/>
    <w:unhideWhenUsed/>
    <w:rsid w:val="00035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81"/>
  </w:style>
  <w:style w:type="paragraph" w:styleId="Footer">
    <w:name w:val="footer"/>
    <w:basedOn w:val="Normal"/>
    <w:link w:val="FooterChar"/>
    <w:uiPriority w:val="99"/>
    <w:unhideWhenUsed/>
    <w:rsid w:val="0003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81"/>
  </w:style>
  <w:style w:type="paragraph" w:styleId="BalloonText">
    <w:name w:val="Balloon Text"/>
    <w:basedOn w:val="Normal"/>
    <w:link w:val="BalloonTextChar"/>
    <w:uiPriority w:val="99"/>
    <w:semiHidden/>
    <w:unhideWhenUsed/>
    <w:rsid w:val="00D81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4B"/>
    <w:rPr>
      <w:rFonts w:ascii="Segoe UI" w:hAnsi="Segoe UI" w:cs="Segoe UI"/>
      <w:sz w:val="18"/>
      <w:szCs w:val="18"/>
    </w:rPr>
  </w:style>
  <w:style w:type="character" w:styleId="FollowedHyperlink">
    <w:name w:val="FollowedHyperlink"/>
    <w:basedOn w:val="DefaultParagraphFont"/>
    <w:uiPriority w:val="99"/>
    <w:semiHidden/>
    <w:unhideWhenUsed/>
    <w:rsid w:val="00A16959"/>
    <w:rPr>
      <w:color w:val="954F72" w:themeColor="followedHyperlink"/>
      <w:u w:val="single"/>
    </w:rPr>
  </w:style>
  <w:style w:type="character" w:styleId="CommentReference">
    <w:name w:val="annotation reference"/>
    <w:basedOn w:val="DefaultParagraphFont"/>
    <w:uiPriority w:val="99"/>
    <w:semiHidden/>
    <w:unhideWhenUsed/>
    <w:rsid w:val="005C7441"/>
    <w:rPr>
      <w:sz w:val="18"/>
      <w:szCs w:val="18"/>
    </w:rPr>
  </w:style>
  <w:style w:type="paragraph" w:styleId="CommentText">
    <w:name w:val="annotation text"/>
    <w:basedOn w:val="Normal"/>
    <w:link w:val="CommentTextChar"/>
    <w:uiPriority w:val="99"/>
    <w:semiHidden/>
    <w:unhideWhenUsed/>
    <w:rsid w:val="005C7441"/>
    <w:pPr>
      <w:spacing w:line="240" w:lineRule="auto"/>
    </w:pPr>
    <w:rPr>
      <w:sz w:val="24"/>
      <w:szCs w:val="24"/>
    </w:rPr>
  </w:style>
  <w:style w:type="character" w:customStyle="1" w:styleId="CommentTextChar">
    <w:name w:val="Comment Text Char"/>
    <w:basedOn w:val="DefaultParagraphFont"/>
    <w:link w:val="CommentText"/>
    <w:uiPriority w:val="99"/>
    <w:semiHidden/>
    <w:rsid w:val="005C7441"/>
    <w:rPr>
      <w:sz w:val="24"/>
      <w:szCs w:val="24"/>
    </w:rPr>
  </w:style>
  <w:style w:type="paragraph" w:styleId="CommentSubject">
    <w:name w:val="annotation subject"/>
    <w:basedOn w:val="CommentText"/>
    <w:next w:val="CommentText"/>
    <w:link w:val="CommentSubjectChar"/>
    <w:uiPriority w:val="99"/>
    <w:semiHidden/>
    <w:unhideWhenUsed/>
    <w:rsid w:val="005C7441"/>
    <w:rPr>
      <w:b/>
      <w:bCs/>
      <w:sz w:val="20"/>
      <w:szCs w:val="20"/>
    </w:rPr>
  </w:style>
  <w:style w:type="character" w:customStyle="1" w:styleId="CommentSubjectChar">
    <w:name w:val="Comment Subject Char"/>
    <w:basedOn w:val="CommentTextChar"/>
    <w:link w:val="CommentSubject"/>
    <w:uiPriority w:val="99"/>
    <w:semiHidden/>
    <w:rsid w:val="005C7441"/>
    <w:rPr>
      <w:b/>
      <w:bCs/>
      <w:sz w:val="20"/>
      <w:szCs w:val="20"/>
    </w:rPr>
  </w:style>
  <w:style w:type="paragraph" w:styleId="ListParagraph">
    <w:name w:val="List Paragraph"/>
    <w:basedOn w:val="Normal"/>
    <w:uiPriority w:val="34"/>
    <w:qFormat/>
    <w:rsid w:val="007F033C"/>
    <w:pPr>
      <w:spacing w:after="0" w:line="240" w:lineRule="auto"/>
      <w:ind w:left="720"/>
      <w:contextualSpacing/>
    </w:pPr>
    <w:rPr>
      <w:rFonts w:eastAsiaTheme="minorEastAsia"/>
      <w:sz w:val="24"/>
      <w:szCs w:val="24"/>
    </w:rPr>
  </w:style>
  <w:style w:type="character" w:styleId="PageNumber">
    <w:name w:val="page number"/>
    <w:basedOn w:val="DefaultParagraphFont"/>
    <w:uiPriority w:val="99"/>
    <w:semiHidden/>
    <w:unhideWhenUsed/>
    <w:rsid w:val="00FB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luca.flego@jrc.ec.europa.eu" TargetMode="External"/><Relationship Id="rId13" Type="http://schemas.openxmlformats.org/officeDocument/2006/relationships/hyperlink" Target="mailto:ChrisMarnay@lbl.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arali@lbl.gov" TargetMode="External"/><Relationship Id="rId12" Type="http://schemas.openxmlformats.org/officeDocument/2006/relationships/hyperlink" Target="mailto:jackzhangua@si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86.22.24408671" TargetMode="External"/><Relationship Id="rId5" Type="http://schemas.openxmlformats.org/officeDocument/2006/relationships/footnotes" Target="footnotes.xml"/><Relationship Id="rId15" Type="http://schemas.openxmlformats.org/officeDocument/2006/relationships/hyperlink" Target="https://www.smartgrid.gov/sites/default/files/doc/files/Methodological_Approach_for_Estimating_Benefits_Costs_Smart_201007.pdf" TargetMode="External"/><Relationship Id="rId10" Type="http://schemas.openxmlformats.org/officeDocument/2006/relationships/hyperlink" Target="mailto:%20Silvia.Vitiello@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iancheng.Yu@tj.sgcc.com.c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nkarali</dc:creator>
  <cp:lastModifiedBy>nkarali</cp:lastModifiedBy>
  <cp:revision>2</cp:revision>
  <cp:lastPrinted>2016-01-12T22:48:00Z</cp:lastPrinted>
  <dcterms:created xsi:type="dcterms:W3CDTF">2016-04-15T06:24:00Z</dcterms:created>
  <dcterms:modified xsi:type="dcterms:W3CDTF">2016-04-15T06:24:00Z</dcterms:modified>
</cp:coreProperties>
</file>